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5EBF2" w14:textId="6CB71C3F" w:rsidR="0036623C" w:rsidRPr="0014151B" w:rsidRDefault="003873AE" w:rsidP="0014151B">
      <w:pPr>
        <w:jc w:val="center"/>
        <w:rPr>
          <w:rFonts w:ascii="Calibri" w:hAnsi="Calibri" w:cs="Calibri"/>
          <w:b/>
          <w:bCs/>
          <w:color w:val="002060"/>
          <w:sz w:val="22"/>
          <w:szCs w:val="22"/>
        </w:rPr>
      </w:pPr>
      <w:r w:rsidRPr="0014151B">
        <w:rPr>
          <w:rFonts w:ascii="Calibri" w:hAnsi="Calibri" w:cs="Calibri"/>
          <w:b/>
          <w:bCs/>
          <w:color w:val="002060"/>
          <w:sz w:val="22"/>
          <w:szCs w:val="22"/>
        </w:rPr>
        <w:t>Sustainability of Neighbourhood Renewal funded community organisations</w:t>
      </w:r>
    </w:p>
    <w:p w14:paraId="3612513E" w14:textId="77777777" w:rsidR="003873AE" w:rsidRPr="0014151B" w:rsidRDefault="003873AE" w:rsidP="0014151B">
      <w:pPr>
        <w:jc w:val="center"/>
        <w:rPr>
          <w:rFonts w:ascii="Calibri" w:hAnsi="Calibri" w:cs="Calibri"/>
          <w:color w:val="002060"/>
          <w:sz w:val="22"/>
          <w:szCs w:val="22"/>
        </w:rPr>
      </w:pPr>
    </w:p>
    <w:p w14:paraId="311412A0" w14:textId="03F747F3" w:rsidR="00A22C4B" w:rsidRPr="001B16AD" w:rsidRDefault="001B16AD" w:rsidP="001B16AD">
      <w:pPr>
        <w:spacing w:line="360" w:lineRule="auto"/>
        <w:rPr>
          <w:rFonts w:ascii="Calibri" w:hAnsi="Calibri" w:cs="Calibri"/>
          <w:b/>
          <w:color w:val="002060"/>
          <w:sz w:val="22"/>
          <w:szCs w:val="22"/>
        </w:rPr>
      </w:pPr>
      <w:r w:rsidRPr="00E97E71">
        <w:rPr>
          <w:rFonts w:ascii="Calibri" w:hAnsi="Calibri" w:cs="Calibri"/>
          <w:b/>
          <w:color w:val="002060"/>
          <w:sz w:val="22"/>
          <w:szCs w:val="22"/>
        </w:rPr>
        <w:t>Background:</w:t>
      </w:r>
      <w:r>
        <w:rPr>
          <w:rFonts w:ascii="Calibri" w:hAnsi="Calibri" w:cs="Calibri"/>
          <w:b/>
          <w:color w:val="002060"/>
          <w:sz w:val="22"/>
          <w:szCs w:val="22"/>
        </w:rPr>
        <w:t xml:space="preserve"> </w:t>
      </w:r>
      <w:r w:rsidR="00A22C4B" w:rsidRPr="00A22C4B">
        <w:rPr>
          <w:rFonts w:ascii="Calibri" w:hAnsi="Calibri" w:cs="Calibri"/>
          <w:color w:val="002060"/>
          <w:kern w:val="3"/>
          <w:sz w:val="22"/>
          <w:szCs w:val="22"/>
          <w:lang w:eastAsia="en-GB"/>
        </w:rPr>
        <w:t xml:space="preserve">In June 2003 using the Noble Multiple Deprivation Measure </w:t>
      </w:r>
      <w:r w:rsidR="009B484E">
        <w:rPr>
          <w:rFonts w:ascii="Calibri" w:hAnsi="Calibri" w:cs="Calibri"/>
          <w:color w:val="002060"/>
          <w:kern w:val="3"/>
          <w:sz w:val="22"/>
          <w:szCs w:val="22"/>
          <w:lang w:eastAsia="en-GB"/>
        </w:rPr>
        <w:t>the</w:t>
      </w:r>
      <w:r w:rsidR="009B484E" w:rsidRPr="00A22C4B">
        <w:rPr>
          <w:rFonts w:ascii="Calibri" w:hAnsi="Calibri" w:cs="Calibri"/>
          <w:color w:val="002060"/>
          <w:kern w:val="3"/>
          <w:sz w:val="22"/>
          <w:szCs w:val="22"/>
          <w:lang w:eastAsia="en-GB"/>
        </w:rPr>
        <w:t xml:space="preserve"> most </w:t>
      </w:r>
      <w:r w:rsidR="009B484E">
        <w:rPr>
          <w:rFonts w:ascii="Calibri" w:hAnsi="Calibri" w:cs="Calibri"/>
          <w:color w:val="002060"/>
          <w:kern w:val="3"/>
          <w:sz w:val="22"/>
          <w:szCs w:val="22"/>
          <w:lang w:eastAsia="en-GB"/>
        </w:rPr>
        <w:t>deprived 10% of wards across this</w:t>
      </w:r>
      <w:r w:rsidR="009B484E" w:rsidRPr="00A22C4B">
        <w:rPr>
          <w:rFonts w:ascii="Calibri" w:hAnsi="Calibri" w:cs="Calibri"/>
          <w:color w:val="002060"/>
          <w:kern w:val="3"/>
          <w:sz w:val="22"/>
          <w:szCs w:val="22"/>
          <w:lang w:eastAsia="en-GB"/>
        </w:rPr>
        <w:t xml:space="preserve"> jurisdiction </w:t>
      </w:r>
      <w:r w:rsidR="009B484E">
        <w:rPr>
          <w:rFonts w:ascii="Calibri" w:hAnsi="Calibri" w:cs="Calibri"/>
          <w:color w:val="002060"/>
          <w:kern w:val="3"/>
          <w:sz w:val="22"/>
          <w:szCs w:val="22"/>
          <w:lang w:eastAsia="en-GB"/>
        </w:rPr>
        <w:t>were identified and the</w:t>
      </w:r>
      <w:r w:rsidR="00A22C4B" w:rsidRPr="00A22C4B">
        <w:rPr>
          <w:rFonts w:ascii="Calibri" w:hAnsi="Calibri" w:cs="Calibri"/>
          <w:color w:val="002060"/>
          <w:kern w:val="3"/>
          <w:sz w:val="22"/>
          <w:szCs w:val="22"/>
          <w:lang w:eastAsia="en-GB"/>
        </w:rPr>
        <w:t xml:space="preserve"> </w:t>
      </w:r>
      <w:r w:rsidR="009B484E">
        <w:rPr>
          <w:rFonts w:ascii="Calibri" w:hAnsi="Calibri" w:cs="Calibri"/>
          <w:color w:val="002060"/>
          <w:kern w:val="3"/>
          <w:sz w:val="22"/>
          <w:szCs w:val="22"/>
          <w:lang w:eastAsia="en-GB"/>
        </w:rPr>
        <w:t xml:space="preserve">framework for the </w:t>
      </w:r>
      <w:r w:rsidR="00A22C4B" w:rsidRPr="00A22C4B">
        <w:rPr>
          <w:rFonts w:ascii="Calibri" w:hAnsi="Calibri" w:cs="Calibri"/>
          <w:color w:val="002060"/>
          <w:kern w:val="3"/>
          <w:sz w:val="22"/>
          <w:szCs w:val="22"/>
          <w:lang w:eastAsia="en-GB"/>
        </w:rPr>
        <w:t>Neighbourhood Renewal Programme</w:t>
      </w:r>
      <w:r w:rsidR="009B484E">
        <w:rPr>
          <w:rFonts w:ascii="Calibri" w:hAnsi="Calibri" w:cs="Calibri"/>
          <w:color w:val="002060"/>
          <w:kern w:val="3"/>
          <w:sz w:val="22"/>
          <w:szCs w:val="22"/>
          <w:lang w:eastAsia="en-GB"/>
        </w:rPr>
        <w:t xml:space="preserve"> was established</w:t>
      </w:r>
      <w:r w:rsidR="00A22C4B" w:rsidRPr="00A22C4B">
        <w:rPr>
          <w:rFonts w:ascii="Calibri" w:hAnsi="Calibri" w:cs="Calibri"/>
          <w:color w:val="002060"/>
          <w:kern w:val="3"/>
          <w:sz w:val="22"/>
          <w:szCs w:val="22"/>
          <w:lang w:eastAsia="en-GB"/>
        </w:rPr>
        <w:t>.</w:t>
      </w:r>
    </w:p>
    <w:p w14:paraId="26AD3BA7" w14:textId="77777777" w:rsidR="009B484E" w:rsidRPr="00A22C4B" w:rsidRDefault="009B484E" w:rsidP="00A22C4B">
      <w:pPr>
        <w:shd w:val="clear" w:color="auto" w:fill="FFFFFF"/>
        <w:spacing w:line="360" w:lineRule="auto"/>
        <w:jc w:val="both"/>
        <w:textAlignment w:val="top"/>
        <w:rPr>
          <w:rFonts w:ascii="Calibri" w:hAnsi="Calibri" w:cs="Calibri"/>
          <w:color w:val="002060"/>
          <w:kern w:val="3"/>
          <w:sz w:val="22"/>
          <w:szCs w:val="22"/>
          <w:lang w:eastAsia="en-GB"/>
        </w:rPr>
      </w:pPr>
    </w:p>
    <w:p w14:paraId="6A1B59FE" w14:textId="36FD68F5" w:rsidR="00A22C4B" w:rsidRDefault="00A22C4B" w:rsidP="00A22C4B">
      <w:pPr>
        <w:shd w:val="clear" w:color="auto" w:fill="FFFFFF" w:themeFill="background1"/>
        <w:spacing w:line="360" w:lineRule="auto"/>
        <w:jc w:val="both"/>
        <w:textAlignment w:val="top"/>
        <w:rPr>
          <w:rFonts w:ascii="Calibri" w:eastAsia="SimSun" w:hAnsi="Calibri" w:cs="Calibri"/>
          <w:color w:val="002060"/>
          <w:kern w:val="3"/>
          <w:sz w:val="22"/>
          <w:szCs w:val="22"/>
        </w:rPr>
      </w:pPr>
      <w:r w:rsidRPr="00A22C4B">
        <w:rPr>
          <w:rFonts w:ascii="Calibri" w:eastAsia="SimSun" w:hAnsi="Calibri" w:cs="Calibri"/>
          <w:color w:val="002060"/>
          <w:kern w:val="3"/>
          <w:sz w:val="22"/>
          <w:szCs w:val="22"/>
        </w:rPr>
        <w:t xml:space="preserve">The Neighbourhood Renewal Programme was created to reduce the social and economic inequalities which characterise </w:t>
      </w:r>
      <w:r w:rsidR="001B16AD">
        <w:rPr>
          <w:rFonts w:ascii="Calibri" w:eastAsia="SimSun" w:hAnsi="Calibri" w:cs="Calibri"/>
          <w:color w:val="002060"/>
          <w:kern w:val="3"/>
          <w:sz w:val="22"/>
          <w:szCs w:val="22"/>
        </w:rPr>
        <w:t>the most deprived areas. It did</w:t>
      </w:r>
      <w:r w:rsidRPr="00A22C4B">
        <w:rPr>
          <w:rFonts w:ascii="Calibri" w:eastAsia="SimSun" w:hAnsi="Calibri" w:cs="Calibri"/>
          <w:color w:val="002060"/>
          <w:kern w:val="3"/>
          <w:sz w:val="22"/>
          <w:szCs w:val="22"/>
        </w:rPr>
        <w:t xml:space="preserve"> so by making a long-term commitment to communities to work in partnership with them to identify and prioritise needs and co-ordinate interventions designed to address the underlying causes of poverty. </w:t>
      </w:r>
    </w:p>
    <w:p w14:paraId="48602121" w14:textId="77777777" w:rsidR="009B484E" w:rsidRPr="00A22C4B" w:rsidRDefault="009B484E" w:rsidP="00A22C4B">
      <w:pPr>
        <w:shd w:val="clear" w:color="auto" w:fill="FFFFFF" w:themeFill="background1"/>
        <w:spacing w:line="360" w:lineRule="auto"/>
        <w:jc w:val="both"/>
        <w:textAlignment w:val="top"/>
        <w:rPr>
          <w:rFonts w:ascii="Calibri" w:eastAsia="SimSun" w:hAnsi="Calibri" w:cs="Calibri"/>
          <w:color w:val="002060"/>
          <w:kern w:val="3"/>
          <w:sz w:val="22"/>
          <w:szCs w:val="22"/>
        </w:rPr>
      </w:pPr>
    </w:p>
    <w:p w14:paraId="36584542" w14:textId="77777777" w:rsidR="00A22C4B" w:rsidRPr="00A22C4B" w:rsidRDefault="00A22C4B" w:rsidP="00A22C4B">
      <w:pPr>
        <w:shd w:val="clear" w:color="auto" w:fill="FFFFFF" w:themeFill="background1"/>
        <w:spacing w:line="360" w:lineRule="auto"/>
        <w:jc w:val="both"/>
        <w:textAlignment w:val="top"/>
        <w:rPr>
          <w:rFonts w:ascii="Calibri" w:eastAsia="SimSun" w:hAnsi="Calibri" w:cs="Calibri"/>
          <w:color w:val="002060"/>
          <w:kern w:val="3"/>
          <w:sz w:val="22"/>
          <w:szCs w:val="22"/>
        </w:rPr>
      </w:pPr>
      <w:proofErr w:type="gramStart"/>
      <w:r w:rsidRPr="00A22C4B">
        <w:rPr>
          <w:rFonts w:ascii="Calibri" w:eastAsia="SimSun" w:hAnsi="Calibri" w:cs="Calibri"/>
          <w:color w:val="002060"/>
          <w:kern w:val="3"/>
          <w:sz w:val="22"/>
          <w:szCs w:val="22"/>
        </w:rPr>
        <w:t>In order to</w:t>
      </w:r>
      <w:proofErr w:type="gramEnd"/>
      <w:r w:rsidRPr="00A22C4B">
        <w:rPr>
          <w:rFonts w:ascii="Calibri" w:eastAsia="SimSun" w:hAnsi="Calibri" w:cs="Calibri"/>
          <w:color w:val="002060"/>
          <w:kern w:val="3"/>
          <w:sz w:val="22"/>
          <w:szCs w:val="22"/>
        </w:rPr>
        <w:t xml:space="preserve"> operationalise the Neighbourhood Renewal Programme, Neighbourhood Renewal Partnerships were established. These partnerships are made up of representative of local community interests together with appropriate Government Departments, public sector agencies, private sector interest and local elected representatives.</w:t>
      </w:r>
    </w:p>
    <w:p w14:paraId="5AA0EB17" w14:textId="2618FFBD" w:rsidR="00676771" w:rsidRDefault="00676771" w:rsidP="006874E5">
      <w:pPr>
        <w:spacing w:line="360" w:lineRule="auto"/>
        <w:rPr>
          <w:rFonts w:ascii="Calibri" w:hAnsi="Calibri" w:cs="Calibri"/>
          <w:b/>
          <w:color w:val="002060"/>
          <w:sz w:val="22"/>
          <w:szCs w:val="22"/>
        </w:rPr>
      </w:pPr>
    </w:p>
    <w:p w14:paraId="4A3519BD" w14:textId="66DBB0C4" w:rsidR="00676771" w:rsidRDefault="001B16AD" w:rsidP="001B16AD">
      <w:pPr>
        <w:spacing w:line="360" w:lineRule="auto"/>
        <w:rPr>
          <w:rFonts w:ascii="Calibri" w:hAnsi="Calibri" w:cs="Calibri"/>
          <w:b/>
          <w:color w:val="002060"/>
          <w:sz w:val="22"/>
          <w:szCs w:val="22"/>
        </w:rPr>
      </w:pPr>
      <w:r>
        <w:rPr>
          <w:rFonts w:ascii="Calibri" w:hAnsi="Calibri" w:cs="Calibri"/>
          <w:b/>
          <w:color w:val="002060"/>
          <w:sz w:val="22"/>
          <w:szCs w:val="22"/>
        </w:rPr>
        <w:t xml:space="preserve">Context: </w:t>
      </w:r>
      <w:r w:rsidRPr="001B16AD">
        <w:rPr>
          <w:rFonts w:ascii="Calibri" w:hAnsi="Calibri" w:cs="Calibri"/>
          <w:color w:val="002060"/>
          <w:sz w:val="22"/>
          <w:szCs w:val="22"/>
        </w:rPr>
        <w:t>The</w:t>
      </w:r>
      <w:r w:rsidR="00A3606B" w:rsidRPr="001B16AD">
        <w:rPr>
          <w:rFonts w:ascii="Calibri" w:hAnsi="Calibri" w:cs="Calibri"/>
          <w:color w:val="002060"/>
          <w:sz w:val="22"/>
          <w:szCs w:val="22"/>
        </w:rPr>
        <w:t xml:space="preserve"> Neighbourhood Renewal Partnership Forum is </w:t>
      </w:r>
      <w:r w:rsidR="009B484E" w:rsidRPr="001B16AD">
        <w:rPr>
          <w:rFonts w:ascii="Calibri" w:hAnsi="Calibri" w:cs="Calibri"/>
          <w:color w:val="002060"/>
          <w:sz w:val="22"/>
          <w:szCs w:val="22"/>
        </w:rPr>
        <w:t>a non</w:t>
      </w:r>
      <w:r w:rsidR="009B484E">
        <w:rPr>
          <w:rFonts w:ascii="Calibri" w:hAnsi="Calibri" w:cs="Calibri"/>
          <w:color w:val="002060"/>
          <w:sz w:val="22"/>
          <w:szCs w:val="22"/>
        </w:rPr>
        <w:t>-constituted collective of</w:t>
      </w:r>
      <w:r w:rsidR="00A3606B" w:rsidRPr="00676771">
        <w:rPr>
          <w:rFonts w:ascii="Calibri" w:hAnsi="Calibri" w:cs="Calibri"/>
          <w:color w:val="002060"/>
          <w:sz w:val="22"/>
          <w:szCs w:val="22"/>
        </w:rPr>
        <w:t xml:space="preserve"> organisations currently delivering services </w:t>
      </w:r>
      <w:r w:rsidR="00A3606B">
        <w:rPr>
          <w:rFonts w:ascii="Calibri" w:hAnsi="Calibri" w:cs="Calibri"/>
          <w:color w:val="002060"/>
          <w:sz w:val="22"/>
          <w:szCs w:val="22"/>
        </w:rPr>
        <w:t xml:space="preserve">regionally </w:t>
      </w:r>
      <w:r w:rsidR="009B484E">
        <w:rPr>
          <w:rFonts w:ascii="Calibri" w:hAnsi="Calibri" w:cs="Calibri"/>
          <w:color w:val="002060"/>
          <w:sz w:val="22"/>
          <w:szCs w:val="22"/>
        </w:rPr>
        <w:t xml:space="preserve">through </w:t>
      </w:r>
      <w:proofErr w:type="gramStart"/>
      <w:r w:rsidR="009B484E">
        <w:rPr>
          <w:rFonts w:ascii="Calibri" w:hAnsi="Calibri" w:cs="Calibri"/>
          <w:color w:val="002060"/>
          <w:sz w:val="22"/>
          <w:szCs w:val="22"/>
        </w:rPr>
        <w:t>thirty six</w:t>
      </w:r>
      <w:proofErr w:type="gramEnd"/>
      <w:r w:rsidR="009B484E">
        <w:rPr>
          <w:rFonts w:ascii="Calibri" w:hAnsi="Calibri" w:cs="Calibri"/>
          <w:color w:val="002060"/>
          <w:sz w:val="22"/>
          <w:szCs w:val="22"/>
        </w:rPr>
        <w:t xml:space="preserve"> </w:t>
      </w:r>
      <w:r w:rsidR="00A3606B" w:rsidRPr="00676771">
        <w:rPr>
          <w:rFonts w:ascii="Calibri" w:hAnsi="Calibri" w:cs="Calibri"/>
          <w:color w:val="002060"/>
          <w:sz w:val="22"/>
          <w:szCs w:val="22"/>
        </w:rPr>
        <w:t>Neighbourhood Renewal Partnership</w:t>
      </w:r>
      <w:r w:rsidR="00A3606B">
        <w:rPr>
          <w:rFonts w:ascii="Calibri" w:hAnsi="Calibri" w:cs="Calibri"/>
          <w:color w:val="002060"/>
          <w:sz w:val="22"/>
          <w:szCs w:val="22"/>
        </w:rPr>
        <w:t>s</w:t>
      </w:r>
      <w:r>
        <w:rPr>
          <w:rFonts w:ascii="Calibri" w:hAnsi="Calibri" w:cs="Calibri"/>
          <w:color w:val="002060"/>
          <w:sz w:val="22"/>
          <w:szCs w:val="22"/>
        </w:rPr>
        <w:t xml:space="preserve"> funded primarily by the Department for Communities</w:t>
      </w:r>
      <w:r w:rsidR="00A3606B" w:rsidRPr="00676771">
        <w:rPr>
          <w:rFonts w:ascii="Calibri" w:hAnsi="Calibri" w:cs="Calibri"/>
          <w:color w:val="002060"/>
          <w:sz w:val="22"/>
          <w:szCs w:val="22"/>
        </w:rPr>
        <w:t xml:space="preserve">. The </w:t>
      </w:r>
      <w:r w:rsidR="00A3606B">
        <w:rPr>
          <w:rFonts w:ascii="Calibri" w:hAnsi="Calibri" w:cs="Calibri"/>
          <w:color w:val="002060"/>
          <w:sz w:val="22"/>
          <w:szCs w:val="22"/>
        </w:rPr>
        <w:t xml:space="preserve">initial </w:t>
      </w:r>
      <w:r w:rsidR="00A3606B" w:rsidRPr="00676771">
        <w:rPr>
          <w:rFonts w:ascii="Calibri" w:hAnsi="Calibri" w:cs="Calibri"/>
          <w:color w:val="002060"/>
          <w:sz w:val="22"/>
          <w:szCs w:val="22"/>
        </w:rPr>
        <w:t xml:space="preserve">purpose </w:t>
      </w:r>
      <w:r w:rsidR="00A3606B">
        <w:rPr>
          <w:rFonts w:ascii="Calibri" w:hAnsi="Calibri" w:cs="Calibri"/>
          <w:color w:val="002060"/>
          <w:sz w:val="22"/>
          <w:szCs w:val="22"/>
        </w:rPr>
        <w:t xml:space="preserve">of the forum was to </w:t>
      </w:r>
      <w:r w:rsidR="00A3606B" w:rsidRPr="00676771">
        <w:rPr>
          <w:rFonts w:ascii="Calibri" w:hAnsi="Calibri" w:cs="Calibri"/>
          <w:color w:val="002060"/>
          <w:sz w:val="22"/>
          <w:szCs w:val="22"/>
        </w:rPr>
        <w:t>provide a collaborat</w:t>
      </w:r>
      <w:r>
        <w:rPr>
          <w:rFonts w:ascii="Calibri" w:hAnsi="Calibri" w:cs="Calibri"/>
          <w:color w:val="002060"/>
          <w:sz w:val="22"/>
          <w:szCs w:val="22"/>
        </w:rPr>
        <w:t>ive framework to work</w:t>
      </w:r>
      <w:r w:rsidR="00A3606B" w:rsidRPr="00676771">
        <w:rPr>
          <w:rFonts w:ascii="Calibri" w:hAnsi="Calibri" w:cs="Calibri"/>
          <w:color w:val="002060"/>
          <w:sz w:val="22"/>
          <w:szCs w:val="22"/>
        </w:rPr>
        <w:t xml:space="preserve"> together with </w:t>
      </w:r>
      <w:r w:rsidR="00A3606B">
        <w:rPr>
          <w:rFonts w:ascii="Calibri" w:hAnsi="Calibri" w:cs="Calibri"/>
          <w:color w:val="002060"/>
          <w:sz w:val="22"/>
          <w:szCs w:val="22"/>
        </w:rPr>
        <w:t>the Department for Communities People and Place Review T</w:t>
      </w:r>
      <w:r w:rsidR="00A3606B" w:rsidRPr="00676771">
        <w:rPr>
          <w:rFonts w:ascii="Calibri" w:hAnsi="Calibri" w:cs="Calibri"/>
          <w:color w:val="002060"/>
          <w:sz w:val="22"/>
          <w:szCs w:val="22"/>
        </w:rPr>
        <w:t>eam to e</w:t>
      </w:r>
      <w:r w:rsidR="00A3606B">
        <w:rPr>
          <w:rFonts w:ascii="Calibri" w:hAnsi="Calibri" w:cs="Calibri"/>
          <w:color w:val="002060"/>
          <w:sz w:val="22"/>
          <w:szCs w:val="22"/>
        </w:rPr>
        <w:t>nsure their lived experience could</w:t>
      </w:r>
      <w:r w:rsidR="00A3606B" w:rsidRPr="00676771">
        <w:rPr>
          <w:rFonts w:ascii="Calibri" w:hAnsi="Calibri" w:cs="Calibri"/>
          <w:color w:val="002060"/>
          <w:sz w:val="22"/>
          <w:szCs w:val="22"/>
        </w:rPr>
        <w:t xml:space="preserve"> be best utilised to support the NI Executive deliver against its Programme for Government in the 10% mos</w:t>
      </w:r>
      <w:r w:rsidR="009B484E">
        <w:rPr>
          <w:rFonts w:ascii="Calibri" w:hAnsi="Calibri" w:cs="Calibri"/>
          <w:color w:val="002060"/>
          <w:sz w:val="22"/>
          <w:szCs w:val="22"/>
        </w:rPr>
        <w:t>t deprived areas post April 2025</w:t>
      </w:r>
      <w:r w:rsidR="00A3606B" w:rsidRPr="00676771">
        <w:rPr>
          <w:rFonts w:ascii="Calibri" w:hAnsi="Calibri" w:cs="Calibri"/>
          <w:color w:val="002060"/>
          <w:sz w:val="22"/>
          <w:szCs w:val="22"/>
        </w:rPr>
        <w:t>.</w:t>
      </w:r>
      <w:r w:rsidR="00A3606B">
        <w:rPr>
          <w:rFonts w:ascii="Calibri" w:hAnsi="Calibri" w:cs="Calibri"/>
          <w:color w:val="002060"/>
          <w:sz w:val="22"/>
          <w:szCs w:val="22"/>
        </w:rPr>
        <w:t xml:space="preserve"> </w:t>
      </w:r>
    </w:p>
    <w:p w14:paraId="716F1958" w14:textId="77777777" w:rsidR="00A3606B" w:rsidRDefault="00A3606B" w:rsidP="00A3606B">
      <w:pPr>
        <w:spacing w:line="360" w:lineRule="auto"/>
        <w:jc w:val="both"/>
        <w:rPr>
          <w:rFonts w:ascii="Calibri" w:hAnsi="Calibri" w:cs="Calibri"/>
          <w:b/>
          <w:color w:val="002060"/>
          <w:sz w:val="22"/>
          <w:szCs w:val="22"/>
        </w:rPr>
      </w:pPr>
    </w:p>
    <w:p w14:paraId="73112333" w14:textId="6983B7B0" w:rsidR="00676771" w:rsidRPr="00676771" w:rsidRDefault="00676771" w:rsidP="006874E5">
      <w:pPr>
        <w:spacing w:line="360" w:lineRule="auto"/>
        <w:jc w:val="both"/>
        <w:rPr>
          <w:rFonts w:ascii="Calibri" w:hAnsi="Calibri" w:cs="Calibri"/>
          <w:color w:val="002060"/>
          <w:sz w:val="22"/>
          <w:szCs w:val="22"/>
        </w:rPr>
      </w:pPr>
      <w:proofErr w:type="gramStart"/>
      <w:r>
        <w:rPr>
          <w:rFonts w:ascii="Calibri" w:hAnsi="Calibri" w:cs="Calibri"/>
          <w:color w:val="002060"/>
          <w:sz w:val="22"/>
          <w:szCs w:val="22"/>
        </w:rPr>
        <w:t>During the course of</w:t>
      </w:r>
      <w:proofErr w:type="gramEnd"/>
      <w:r>
        <w:rPr>
          <w:rFonts w:ascii="Calibri" w:hAnsi="Calibri" w:cs="Calibri"/>
          <w:color w:val="002060"/>
          <w:sz w:val="22"/>
          <w:szCs w:val="22"/>
        </w:rPr>
        <w:t xml:space="preserve"> the last eighteen months the benefits of a collaborative forum have become </w:t>
      </w:r>
      <w:r w:rsidR="0020477A">
        <w:rPr>
          <w:rFonts w:ascii="Calibri" w:hAnsi="Calibri" w:cs="Calibri"/>
          <w:color w:val="002060"/>
          <w:sz w:val="22"/>
          <w:szCs w:val="22"/>
        </w:rPr>
        <w:t xml:space="preserve">evident, </w:t>
      </w:r>
      <w:r w:rsidR="009B484E">
        <w:rPr>
          <w:rFonts w:ascii="Calibri" w:hAnsi="Calibri" w:cs="Calibri"/>
          <w:color w:val="002060"/>
          <w:sz w:val="22"/>
          <w:szCs w:val="22"/>
        </w:rPr>
        <w:t xml:space="preserve">most notably </w:t>
      </w:r>
      <w:r>
        <w:rPr>
          <w:rFonts w:ascii="Calibri" w:hAnsi="Calibri" w:cs="Calibri"/>
          <w:color w:val="002060"/>
          <w:sz w:val="22"/>
          <w:szCs w:val="22"/>
        </w:rPr>
        <w:t>the future sustainability of the sector</w:t>
      </w:r>
      <w:r w:rsidR="0014151B">
        <w:rPr>
          <w:rFonts w:ascii="Calibri" w:hAnsi="Calibri" w:cs="Calibri"/>
          <w:color w:val="002060"/>
          <w:sz w:val="22"/>
          <w:szCs w:val="22"/>
        </w:rPr>
        <w:t>, particularly those Neighbourhood Renewal funded organisations delivering services in the areas experiencing multiple deprivation was identified as a serious risk.</w:t>
      </w:r>
    </w:p>
    <w:p w14:paraId="73803F1B" w14:textId="77777777" w:rsidR="00676771" w:rsidRDefault="00676771" w:rsidP="006874E5">
      <w:pPr>
        <w:spacing w:line="360" w:lineRule="auto"/>
        <w:rPr>
          <w:rFonts w:ascii="Calibri" w:hAnsi="Calibri" w:cs="Calibri"/>
          <w:b/>
          <w:color w:val="002060"/>
          <w:sz w:val="22"/>
          <w:szCs w:val="22"/>
        </w:rPr>
      </w:pPr>
    </w:p>
    <w:p w14:paraId="226AA874" w14:textId="032A5B1F" w:rsidR="003873AE" w:rsidRDefault="0014151B" w:rsidP="006874E5">
      <w:pPr>
        <w:spacing w:line="360" w:lineRule="auto"/>
        <w:jc w:val="both"/>
        <w:rPr>
          <w:rFonts w:ascii="Calibri" w:hAnsi="Calibri" w:cs="Calibri"/>
          <w:color w:val="002060"/>
          <w:sz w:val="22"/>
          <w:szCs w:val="22"/>
        </w:rPr>
      </w:pPr>
      <w:r w:rsidRPr="00E34624">
        <w:rPr>
          <w:rFonts w:ascii="Calibri" w:hAnsi="Calibri" w:cs="Calibri"/>
          <w:color w:val="002060"/>
          <w:sz w:val="22"/>
          <w:szCs w:val="22"/>
        </w:rPr>
        <w:t xml:space="preserve">In addition to </w:t>
      </w:r>
      <w:r w:rsidR="003873AE" w:rsidRPr="00E34624">
        <w:rPr>
          <w:rFonts w:ascii="Calibri" w:hAnsi="Calibri" w:cs="Calibri"/>
          <w:color w:val="002060"/>
          <w:sz w:val="22"/>
          <w:szCs w:val="22"/>
        </w:rPr>
        <w:t>the delivery of the People and Place/neighbourhood renewal strategy in the most deprived communities</w:t>
      </w:r>
      <w:r w:rsidR="00E34624" w:rsidRPr="00E34624">
        <w:rPr>
          <w:rFonts w:ascii="Calibri" w:hAnsi="Calibri" w:cs="Calibri"/>
          <w:color w:val="002060"/>
          <w:sz w:val="22"/>
          <w:szCs w:val="22"/>
        </w:rPr>
        <w:t xml:space="preserve"> </w:t>
      </w:r>
      <w:r w:rsidR="0020477A">
        <w:rPr>
          <w:rFonts w:ascii="Calibri" w:hAnsi="Calibri" w:cs="Calibri"/>
          <w:color w:val="002060"/>
          <w:sz w:val="22"/>
          <w:szCs w:val="22"/>
        </w:rPr>
        <w:t xml:space="preserve">our </w:t>
      </w:r>
      <w:r w:rsidR="00E34624" w:rsidRPr="00E34624">
        <w:rPr>
          <w:rFonts w:ascii="Calibri" w:hAnsi="Calibri" w:cs="Calibri"/>
          <w:color w:val="002060"/>
          <w:sz w:val="22"/>
          <w:szCs w:val="22"/>
        </w:rPr>
        <w:t>locally place based community organisations play a critical role in</w:t>
      </w:r>
      <w:r w:rsidR="00FD2294" w:rsidRPr="00E34624">
        <w:rPr>
          <w:rFonts w:ascii="Calibri" w:hAnsi="Calibri" w:cs="Calibri"/>
          <w:color w:val="002060"/>
          <w:sz w:val="22"/>
          <w:szCs w:val="22"/>
        </w:rPr>
        <w:t xml:space="preserve"> the delivery of other government policies and services including work with children and young people; childcare; women’s groups; education, training and employability; health projects; community safety; advice and welfare services; good relations and interfaces; physical and environmental regeneration and much more.</w:t>
      </w:r>
    </w:p>
    <w:p w14:paraId="3A92F001" w14:textId="3A03702B" w:rsidR="00E34624" w:rsidRDefault="00E34624" w:rsidP="006874E5">
      <w:pPr>
        <w:spacing w:line="360" w:lineRule="auto"/>
        <w:jc w:val="both"/>
        <w:rPr>
          <w:rFonts w:ascii="Calibri" w:hAnsi="Calibri" w:cs="Calibri"/>
          <w:color w:val="002060"/>
          <w:sz w:val="22"/>
          <w:szCs w:val="22"/>
        </w:rPr>
      </w:pPr>
    </w:p>
    <w:p w14:paraId="1508A6FD" w14:textId="6CBF1B7F" w:rsidR="00920CA8" w:rsidRDefault="009066E0" w:rsidP="006874E5">
      <w:pPr>
        <w:spacing w:line="360" w:lineRule="auto"/>
        <w:jc w:val="both"/>
        <w:rPr>
          <w:rFonts w:ascii="Calibri" w:hAnsi="Calibri" w:cs="Calibri"/>
          <w:color w:val="002060"/>
          <w:sz w:val="22"/>
          <w:szCs w:val="22"/>
        </w:rPr>
      </w:pPr>
      <w:r>
        <w:rPr>
          <w:rFonts w:ascii="Calibri" w:hAnsi="Calibri" w:cs="Calibri"/>
          <w:color w:val="002060"/>
          <w:sz w:val="22"/>
          <w:szCs w:val="22"/>
        </w:rPr>
        <w:lastRenderedPageBreak/>
        <w:t>A key element of our success is that we are place based community organisations located within the community we serve.</w:t>
      </w:r>
      <w:r w:rsidRPr="00E34624">
        <w:rPr>
          <w:rFonts w:ascii="Calibri" w:hAnsi="Calibri" w:cs="Calibri"/>
          <w:color w:val="002060"/>
          <w:sz w:val="22"/>
          <w:szCs w:val="22"/>
        </w:rPr>
        <w:t xml:space="preserve"> This</w:t>
      </w:r>
      <w:r>
        <w:rPr>
          <w:rFonts w:ascii="Calibri" w:hAnsi="Calibri" w:cs="Calibri"/>
          <w:color w:val="002060"/>
          <w:sz w:val="22"/>
          <w:szCs w:val="22"/>
        </w:rPr>
        <w:t xml:space="preserve"> proximity allows us to identify and respond to both existing and emerging needs. The importance of place based community organisations in the delivery of statutory policy was most noticeably highlighted </w:t>
      </w:r>
      <w:r w:rsidR="00E34624" w:rsidRPr="00E34624">
        <w:rPr>
          <w:rFonts w:ascii="Calibri" w:hAnsi="Calibri" w:cs="Calibri"/>
          <w:color w:val="002060"/>
          <w:sz w:val="22"/>
          <w:szCs w:val="22"/>
        </w:rPr>
        <w:t xml:space="preserve">during the peak of Covid 19 emergency when </w:t>
      </w:r>
      <w:r>
        <w:rPr>
          <w:rFonts w:ascii="Calibri" w:hAnsi="Calibri" w:cs="Calibri"/>
          <w:color w:val="002060"/>
          <w:sz w:val="22"/>
          <w:szCs w:val="22"/>
        </w:rPr>
        <w:t xml:space="preserve">place based community </w:t>
      </w:r>
      <w:r w:rsidR="00920CA8">
        <w:rPr>
          <w:rFonts w:ascii="Calibri" w:hAnsi="Calibri" w:cs="Calibri"/>
          <w:color w:val="002060"/>
          <w:sz w:val="22"/>
          <w:szCs w:val="22"/>
        </w:rPr>
        <w:t xml:space="preserve">organisations where the front line of the </w:t>
      </w:r>
      <w:proofErr w:type="gramStart"/>
      <w:r w:rsidR="00920CA8">
        <w:rPr>
          <w:rFonts w:ascii="Calibri" w:hAnsi="Calibri" w:cs="Calibri"/>
          <w:color w:val="002060"/>
          <w:sz w:val="22"/>
          <w:szCs w:val="22"/>
        </w:rPr>
        <w:t>governments  successful</w:t>
      </w:r>
      <w:proofErr w:type="gramEnd"/>
      <w:r w:rsidR="00920CA8">
        <w:rPr>
          <w:rFonts w:ascii="Calibri" w:hAnsi="Calibri" w:cs="Calibri"/>
          <w:color w:val="002060"/>
          <w:sz w:val="22"/>
          <w:szCs w:val="22"/>
        </w:rPr>
        <w:t xml:space="preserve"> delivery of goods and services to those most in </w:t>
      </w:r>
      <w:r w:rsidR="009478AF">
        <w:rPr>
          <w:rFonts w:ascii="Calibri" w:hAnsi="Calibri" w:cs="Calibri"/>
          <w:color w:val="002060"/>
          <w:sz w:val="22"/>
          <w:szCs w:val="22"/>
        </w:rPr>
        <w:t>need</w:t>
      </w:r>
      <w:r w:rsidR="009478AF" w:rsidRPr="00E34624">
        <w:rPr>
          <w:rFonts w:ascii="Calibri" w:hAnsi="Calibri" w:cs="Calibri"/>
          <w:color w:val="002060"/>
          <w:sz w:val="22"/>
          <w:szCs w:val="22"/>
        </w:rPr>
        <w:t>.</w:t>
      </w:r>
      <w:r w:rsidR="009478AF">
        <w:rPr>
          <w:rFonts w:ascii="Calibri" w:hAnsi="Calibri" w:cs="Calibri"/>
          <w:color w:val="002060"/>
          <w:sz w:val="22"/>
          <w:szCs w:val="22"/>
        </w:rPr>
        <w:t xml:space="preserve"> In </w:t>
      </w:r>
      <w:r w:rsidRPr="00E34624">
        <w:rPr>
          <w:rFonts w:ascii="Calibri" w:hAnsi="Calibri" w:cs="Calibri"/>
          <w:color w:val="002060"/>
          <w:sz w:val="22"/>
          <w:szCs w:val="22"/>
        </w:rPr>
        <w:t>D</w:t>
      </w:r>
      <w:r w:rsidR="009478AF">
        <w:rPr>
          <w:rFonts w:ascii="Calibri" w:hAnsi="Calibri" w:cs="Calibri"/>
          <w:color w:val="002060"/>
          <w:sz w:val="22"/>
          <w:szCs w:val="22"/>
        </w:rPr>
        <w:t>ecember 2021 the Department stated</w:t>
      </w:r>
      <w:r w:rsidRPr="00E34624">
        <w:rPr>
          <w:rFonts w:ascii="Calibri" w:hAnsi="Calibri" w:cs="Calibri"/>
          <w:color w:val="002060"/>
          <w:sz w:val="22"/>
          <w:szCs w:val="22"/>
        </w:rPr>
        <w:t xml:space="preserve"> that it “acknowledges the v</w:t>
      </w:r>
      <w:r w:rsidR="009B484E">
        <w:rPr>
          <w:rFonts w:ascii="Calibri" w:hAnsi="Calibri" w:cs="Calibri"/>
          <w:color w:val="002060"/>
          <w:sz w:val="22"/>
          <w:szCs w:val="22"/>
        </w:rPr>
        <w:t>ital role that the</w:t>
      </w:r>
      <w:r w:rsidRPr="00E34624">
        <w:rPr>
          <w:rFonts w:ascii="Calibri" w:hAnsi="Calibri" w:cs="Calibri"/>
          <w:color w:val="002060"/>
          <w:sz w:val="22"/>
          <w:szCs w:val="22"/>
        </w:rPr>
        <w:t xml:space="preserve"> Community Sector plays in providing critical </w:t>
      </w:r>
      <w:r w:rsidR="009478AF">
        <w:rPr>
          <w:rFonts w:ascii="Calibri" w:hAnsi="Calibri" w:cs="Calibri"/>
          <w:color w:val="002060"/>
          <w:sz w:val="22"/>
          <w:szCs w:val="22"/>
        </w:rPr>
        <w:t>services within our communities”.</w:t>
      </w:r>
    </w:p>
    <w:p w14:paraId="7F7FD84D" w14:textId="77777777" w:rsidR="00920CA8" w:rsidRDefault="00920CA8" w:rsidP="006874E5">
      <w:pPr>
        <w:spacing w:line="360" w:lineRule="auto"/>
        <w:jc w:val="both"/>
        <w:rPr>
          <w:rFonts w:ascii="Calibri" w:hAnsi="Calibri" w:cs="Calibri"/>
          <w:color w:val="002060"/>
          <w:sz w:val="22"/>
          <w:szCs w:val="22"/>
        </w:rPr>
      </w:pPr>
    </w:p>
    <w:p w14:paraId="2285CF54" w14:textId="443274FB" w:rsidR="00920CA8" w:rsidRDefault="00920CA8" w:rsidP="006874E5">
      <w:pPr>
        <w:spacing w:line="360" w:lineRule="auto"/>
        <w:jc w:val="both"/>
        <w:rPr>
          <w:rFonts w:ascii="Calibri" w:hAnsi="Calibri" w:cs="Calibri"/>
          <w:color w:val="002060"/>
          <w:sz w:val="22"/>
          <w:szCs w:val="22"/>
        </w:rPr>
      </w:pPr>
      <w:r>
        <w:rPr>
          <w:rFonts w:ascii="Calibri" w:hAnsi="Calibri" w:cs="Calibri"/>
          <w:color w:val="002060"/>
          <w:sz w:val="22"/>
          <w:szCs w:val="22"/>
        </w:rPr>
        <w:t xml:space="preserve">This acknowledgement of the benefits of respectful collaborative and sustainable partnership between statutory providers and </w:t>
      </w:r>
      <w:proofErr w:type="gramStart"/>
      <w:r>
        <w:rPr>
          <w:rFonts w:ascii="Calibri" w:hAnsi="Calibri" w:cs="Calibri"/>
          <w:color w:val="002060"/>
          <w:sz w:val="22"/>
          <w:szCs w:val="22"/>
        </w:rPr>
        <w:t>place based</w:t>
      </w:r>
      <w:proofErr w:type="gramEnd"/>
      <w:r>
        <w:rPr>
          <w:rFonts w:ascii="Calibri" w:hAnsi="Calibri" w:cs="Calibri"/>
          <w:color w:val="002060"/>
          <w:sz w:val="22"/>
          <w:szCs w:val="22"/>
        </w:rPr>
        <w:t xml:space="preserve"> community organisation is welcomed however the rhetoric rings hollow when the need for parity in the terms and conditions of </w:t>
      </w:r>
      <w:r w:rsidR="00A3606B">
        <w:rPr>
          <w:rFonts w:ascii="Calibri" w:hAnsi="Calibri" w:cs="Calibri"/>
          <w:color w:val="002060"/>
          <w:sz w:val="22"/>
          <w:szCs w:val="22"/>
        </w:rPr>
        <w:t>staff working in both sectors remains</w:t>
      </w:r>
      <w:r>
        <w:rPr>
          <w:rFonts w:ascii="Calibri" w:hAnsi="Calibri" w:cs="Calibri"/>
          <w:color w:val="002060"/>
          <w:sz w:val="22"/>
          <w:szCs w:val="22"/>
        </w:rPr>
        <w:t xml:space="preserve"> absent.</w:t>
      </w:r>
    </w:p>
    <w:p w14:paraId="351A037D" w14:textId="77777777" w:rsidR="00A3606B" w:rsidRDefault="00A3606B" w:rsidP="006874E5">
      <w:pPr>
        <w:spacing w:line="360" w:lineRule="auto"/>
        <w:jc w:val="both"/>
        <w:rPr>
          <w:rFonts w:ascii="Calibri" w:hAnsi="Calibri" w:cs="Calibri"/>
          <w:color w:val="002060"/>
          <w:sz w:val="22"/>
          <w:szCs w:val="22"/>
        </w:rPr>
      </w:pPr>
    </w:p>
    <w:p w14:paraId="495D80D2" w14:textId="50BEA9CA" w:rsidR="00A3606B" w:rsidRDefault="00920CA8" w:rsidP="006874E5">
      <w:pPr>
        <w:spacing w:line="360" w:lineRule="auto"/>
        <w:jc w:val="both"/>
        <w:rPr>
          <w:rFonts w:ascii="Calibri" w:hAnsi="Calibri" w:cs="Calibri"/>
          <w:color w:val="002060"/>
          <w:sz w:val="22"/>
          <w:szCs w:val="22"/>
        </w:rPr>
      </w:pPr>
      <w:r>
        <w:rPr>
          <w:rFonts w:ascii="Calibri" w:hAnsi="Calibri" w:cs="Calibri"/>
          <w:color w:val="002060"/>
          <w:sz w:val="22"/>
          <w:szCs w:val="22"/>
        </w:rPr>
        <w:t>Th</w:t>
      </w:r>
      <w:r w:rsidR="00A3606B">
        <w:rPr>
          <w:rFonts w:ascii="Calibri" w:hAnsi="Calibri" w:cs="Calibri"/>
          <w:color w:val="002060"/>
          <w:sz w:val="22"/>
          <w:szCs w:val="22"/>
        </w:rPr>
        <w:t>e</w:t>
      </w:r>
      <w:r>
        <w:rPr>
          <w:rFonts w:ascii="Calibri" w:hAnsi="Calibri" w:cs="Calibri"/>
          <w:color w:val="002060"/>
          <w:sz w:val="22"/>
          <w:szCs w:val="22"/>
        </w:rPr>
        <w:t xml:space="preserve"> </w:t>
      </w:r>
      <w:r w:rsidR="00555A0B">
        <w:rPr>
          <w:rFonts w:ascii="Calibri" w:hAnsi="Calibri" w:cs="Calibri"/>
          <w:color w:val="002060"/>
          <w:sz w:val="22"/>
          <w:szCs w:val="22"/>
        </w:rPr>
        <w:t>disparity</w:t>
      </w:r>
      <w:r>
        <w:rPr>
          <w:rFonts w:ascii="Calibri" w:hAnsi="Calibri" w:cs="Calibri"/>
          <w:color w:val="002060"/>
          <w:sz w:val="22"/>
          <w:szCs w:val="22"/>
        </w:rPr>
        <w:t xml:space="preserve"> </w:t>
      </w:r>
      <w:r w:rsidR="00555A0B">
        <w:rPr>
          <w:rFonts w:ascii="Calibri" w:hAnsi="Calibri" w:cs="Calibri"/>
          <w:color w:val="002060"/>
          <w:sz w:val="22"/>
          <w:szCs w:val="22"/>
        </w:rPr>
        <w:t>in approach</w:t>
      </w:r>
      <w:r w:rsidR="00A3606B">
        <w:rPr>
          <w:rFonts w:ascii="Calibri" w:hAnsi="Calibri" w:cs="Calibri"/>
          <w:color w:val="002060"/>
          <w:sz w:val="22"/>
          <w:szCs w:val="22"/>
        </w:rPr>
        <w:t xml:space="preserve"> to the priority given to </w:t>
      </w:r>
      <w:r w:rsidR="009478AF">
        <w:rPr>
          <w:rFonts w:ascii="Calibri" w:hAnsi="Calibri" w:cs="Calibri"/>
          <w:color w:val="002060"/>
          <w:sz w:val="22"/>
          <w:szCs w:val="22"/>
        </w:rPr>
        <w:t>the terms and conditions of</w:t>
      </w:r>
      <w:r w:rsidR="00A3606B">
        <w:rPr>
          <w:rFonts w:ascii="Calibri" w:hAnsi="Calibri" w:cs="Calibri"/>
          <w:color w:val="002060"/>
          <w:sz w:val="22"/>
          <w:szCs w:val="22"/>
        </w:rPr>
        <w:t xml:space="preserve"> statutory </w:t>
      </w:r>
      <w:proofErr w:type="gramStart"/>
      <w:r w:rsidR="00A3606B">
        <w:rPr>
          <w:rFonts w:ascii="Calibri" w:hAnsi="Calibri" w:cs="Calibri"/>
          <w:color w:val="002060"/>
          <w:sz w:val="22"/>
          <w:szCs w:val="22"/>
        </w:rPr>
        <w:t>colleague’s</w:t>
      </w:r>
      <w:proofErr w:type="gramEnd"/>
      <w:r w:rsidR="00A3606B">
        <w:rPr>
          <w:rFonts w:ascii="Calibri" w:hAnsi="Calibri" w:cs="Calibri"/>
          <w:color w:val="002060"/>
          <w:sz w:val="22"/>
          <w:szCs w:val="22"/>
        </w:rPr>
        <w:t xml:space="preserve"> in isolation from</w:t>
      </w:r>
      <w:r w:rsidR="009478AF">
        <w:rPr>
          <w:rFonts w:ascii="Calibri" w:hAnsi="Calibri" w:cs="Calibri"/>
          <w:color w:val="002060"/>
          <w:sz w:val="22"/>
          <w:szCs w:val="22"/>
        </w:rPr>
        <w:t xml:space="preserve"> the terms and conditions of </w:t>
      </w:r>
      <w:r w:rsidR="00A3606B">
        <w:rPr>
          <w:rFonts w:ascii="Calibri" w:hAnsi="Calibri" w:cs="Calibri"/>
          <w:color w:val="002060"/>
          <w:sz w:val="22"/>
          <w:szCs w:val="22"/>
        </w:rPr>
        <w:t xml:space="preserve">community </w:t>
      </w:r>
      <w:r w:rsidR="009478AF">
        <w:rPr>
          <w:rFonts w:ascii="Calibri" w:hAnsi="Calibri" w:cs="Calibri"/>
          <w:color w:val="002060"/>
          <w:sz w:val="22"/>
          <w:szCs w:val="22"/>
        </w:rPr>
        <w:t>practitioners</w:t>
      </w:r>
      <w:r w:rsidR="00A3606B">
        <w:rPr>
          <w:rFonts w:ascii="Calibri" w:hAnsi="Calibri" w:cs="Calibri"/>
          <w:color w:val="002060"/>
          <w:sz w:val="22"/>
          <w:szCs w:val="22"/>
        </w:rPr>
        <w:t xml:space="preserve"> </w:t>
      </w:r>
      <w:r w:rsidR="0020477A">
        <w:rPr>
          <w:rFonts w:ascii="Calibri" w:hAnsi="Calibri" w:cs="Calibri"/>
          <w:color w:val="002060"/>
          <w:sz w:val="22"/>
          <w:szCs w:val="22"/>
        </w:rPr>
        <w:t xml:space="preserve">has </w:t>
      </w:r>
      <w:proofErr w:type="spellStart"/>
      <w:r w:rsidR="0020477A">
        <w:rPr>
          <w:rFonts w:ascii="Calibri" w:hAnsi="Calibri" w:cs="Calibri"/>
          <w:color w:val="002060"/>
          <w:sz w:val="22"/>
          <w:szCs w:val="22"/>
        </w:rPr>
        <w:t>fueled</w:t>
      </w:r>
      <w:proofErr w:type="spellEnd"/>
      <w:r w:rsidR="00E34624" w:rsidRPr="00E34624">
        <w:rPr>
          <w:rFonts w:ascii="Calibri" w:hAnsi="Calibri" w:cs="Calibri"/>
          <w:color w:val="002060"/>
          <w:sz w:val="22"/>
          <w:szCs w:val="22"/>
        </w:rPr>
        <w:t xml:space="preserve"> a belief in the community sector that its role is not valued as a genuine partner </w:t>
      </w:r>
      <w:r w:rsidR="00555A0B">
        <w:rPr>
          <w:rFonts w:ascii="Calibri" w:hAnsi="Calibri" w:cs="Calibri"/>
          <w:color w:val="002060"/>
          <w:sz w:val="22"/>
          <w:szCs w:val="22"/>
        </w:rPr>
        <w:t>to the public sect</w:t>
      </w:r>
      <w:r w:rsidR="009478AF">
        <w:rPr>
          <w:rFonts w:ascii="Calibri" w:hAnsi="Calibri" w:cs="Calibri"/>
          <w:color w:val="002060"/>
          <w:sz w:val="22"/>
          <w:szCs w:val="22"/>
        </w:rPr>
        <w:t>or but rather</w:t>
      </w:r>
      <w:r w:rsidR="00555A0B">
        <w:rPr>
          <w:rFonts w:ascii="Calibri" w:hAnsi="Calibri" w:cs="Calibri"/>
          <w:color w:val="002060"/>
          <w:sz w:val="22"/>
          <w:szCs w:val="22"/>
        </w:rPr>
        <w:t xml:space="preserve"> is considered</w:t>
      </w:r>
      <w:r w:rsidR="00E34624" w:rsidRPr="00E34624">
        <w:rPr>
          <w:rFonts w:ascii="Calibri" w:hAnsi="Calibri" w:cs="Calibri"/>
          <w:color w:val="002060"/>
          <w:sz w:val="22"/>
          <w:szCs w:val="22"/>
        </w:rPr>
        <w:t xml:space="preserve"> as a </w:t>
      </w:r>
      <w:r w:rsidR="00555A0B">
        <w:rPr>
          <w:rFonts w:ascii="Calibri" w:hAnsi="Calibri" w:cs="Calibri"/>
          <w:color w:val="002060"/>
          <w:sz w:val="22"/>
          <w:szCs w:val="22"/>
        </w:rPr>
        <w:t xml:space="preserve">convenient, </w:t>
      </w:r>
      <w:r w:rsidR="00E34624" w:rsidRPr="00E34624">
        <w:rPr>
          <w:rFonts w:ascii="Calibri" w:hAnsi="Calibri" w:cs="Calibri"/>
          <w:color w:val="002060"/>
          <w:sz w:val="22"/>
          <w:szCs w:val="22"/>
        </w:rPr>
        <w:t xml:space="preserve">less expensive </w:t>
      </w:r>
      <w:r w:rsidR="00555A0B">
        <w:rPr>
          <w:rFonts w:ascii="Calibri" w:hAnsi="Calibri" w:cs="Calibri"/>
          <w:color w:val="002060"/>
          <w:sz w:val="22"/>
          <w:szCs w:val="22"/>
        </w:rPr>
        <w:t xml:space="preserve">outsourced </w:t>
      </w:r>
      <w:r w:rsidR="00E34624" w:rsidRPr="00E34624">
        <w:rPr>
          <w:rFonts w:ascii="Calibri" w:hAnsi="Calibri" w:cs="Calibri"/>
          <w:color w:val="002060"/>
          <w:sz w:val="22"/>
          <w:szCs w:val="22"/>
        </w:rPr>
        <w:t xml:space="preserve">delivery mechanism. </w:t>
      </w:r>
    </w:p>
    <w:p w14:paraId="6F2D4DD7" w14:textId="77777777" w:rsidR="00A3606B" w:rsidRDefault="00A3606B" w:rsidP="006874E5">
      <w:pPr>
        <w:spacing w:line="360" w:lineRule="auto"/>
        <w:jc w:val="both"/>
        <w:rPr>
          <w:rFonts w:ascii="Calibri" w:hAnsi="Calibri" w:cs="Calibri"/>
          <w:color w:val="002060"/>
          <w:sz w:val="22"/>
          <w:szCs w:val="22"/>
        </w:rPr>
      </w:pPr>
    </w:p>
    <w:p w14:paraId="46486BE7" w14:textId="7CD74C95" w:rsidR="00E34624" w:rsidRPr="00E34624" w:rsidRDefault="00A3606B" w:rsidP="006874E5">
      <w:pPr>
        <w:spacing w:line="360" w:lineRule="auto"/>
        <w:jc w:val="both"/>
        <w:rPr>
          <w:rFonts w:ascii="Calibri" w:hAnsi="Calibri" w:cs="Calibri"/>
          <w:color w:val="002060"/>
          <w:sz w:val="22"/>
          <w:szCs w:val="22"/>
        </w:rPr>
      </w:pPr>
      <w:r>
        <w:rPr>
          <w:rFonts w:ascii="Calibri" w:hAnsi="Calibri" w:cs="Calibri"/>
          <w:color w:val="002060"/>
          <w:sz w:val="22"/>
          <w:szCs w:val="22"/>
        </w:rPr>
        <w:t>Although w</w:t>
      </w:r>
      <w:r w:rsidR="00E34624" w:rsidRPr="00E34624">
        <w:rPr>
          <w:rFonts w:ascii="Calibri" w:hAnsi="Calibri" w:cs="Calibri"/>
          <w:color w:val="002060"/>
          <w:sz w:val="22"/>
          <w:szCs w:val="22"/>
        </w:rPr>
        <w:t xml:space="preserve">e </w:t>
      </w:r>
      <w:r w:rsidR="00555A0B">
        <w:rPr>
          <w:rFonts w:ascii="Calibri" w:hAnsi="Calibri" w:cs="Calibri"/>
          <w:color w:val="002060"/>
          <w:sz w:val="22"/>
          <w:szCs w:val="22"/>
        </w:rPr>
        <w:t xml:space="preserve">remain committed to </w:t>
      </w:r>
      <w:r>
        <w:rPr>
          <w:rFonts w:ascii="Calibri" w:hAnsi="Calibri" w:cs="Calibri"/>
          <w:color w:val="002060"/>
          <w:sz w:val="22"/>
          <w:szCs w:val="22"/>
        </w:rPr>
        <w:t>continuing to work in</w:t>
      </w:r>
      <w:r w:rsidR="00E34624" w:rsidRPr="00E34624">
        <w:rPr>
          <w:rFonts w:ascii="Calibri" w:hAnsi="Calibri" w:cs="Calibri"/>
          <w:color w:val="002060"/>
          <w:sz w:val="22"/>
          <w:szCs w:val="22"/>
        </w:rPr>
        <w:t xml:space="preserve"> respectful, </w:t>
      </w:r>
      <w:r w:rsidR="00555A0B" w:rsidRPr="00E34624">
        <w:rPr>
          <w:rFonts w:ascii="Calibri" w:hAnsi="Calibri" w:cs="Calibri"/>
          <w:color w:val="002060"/>
          <w:sz w:val="22"/>
          <w:szCs w:val="22"/>
        </w:rPr>
        <w:t>equal</w:t>
      </w:r>
      <w:r w:rsidR="00555A0B">
        <w:rPr>
          <w:rFonts w:ascii="Calibri" w:hAnsi="Calibri" w:cs="Calibri"/>
          <w:color w:val="002060"/>
          <w:sz w:val="22"/>
          <w:szCs w:val="22"/>
        </w:rPr>
        <w:t xml:space="preserve">, </w:t>
      </w:r>
      <w:proofErr w:type="gramStart"/>
      <w:r w:rsidR="00555A0B">
        <w:rPr>
          <w:rFonts w:ascii="Calibri" w:hAnsi="Calibri" w:cs="Calibri"/>
          <w:color w:val="002060"/>
          <w:sz w:val="22"/>
          <w:szCs w:val="22"/>
        </w:rPr>
        <w:t>collaborative</w:t>
      </w:r>
      <w:proofErr w:type="gramEnd"/>
      <w:r w:rsidR="00555A0B">
        <w:rPr>
          <w:rFonts w:ascii="Calibri" w:hAnsi="Calibri" w:cs="Calibri"/>
          <w:color w:val="002060"/>
          <w:sz w:val="22"/>
          <w:szCs w:val="22"/>
        </w:rPr>
        <w:t xml:space="preserve"> </w:t>
      </w:r>
      <w:r w:rsidR="00E34624" w:rsidRPr="00E34624">
        <w:rPr>
          <w:rFonts w:ascii="Calibri" w:hAnsi="Calibri" w:cs="Calibri"/>
          <w:color w:val="002060"/>
          <w:sz w:val="22"/>
          <w:szCs w:val="22"/>
        </w:rPr>
        <w:t>and sustainable partn</w:t>
      </w:r>
      <w:r>
        <w:rPr>
          <w:rFonts w:ascii="Calibri" w:hAnsi="Calibri" w:cs="Calibri"/>
          <w:color w:val="002060"/>
          <w:sz w:val="22"/>
          <w:szCs w:val="22"/>
        </w:rPr>
        <w:t>ership</w:t>
      </w:r>
      <w:r w:rsidR="00A22C4B">
        <w:rPr>
          <w:rFonts w:ascii="Calibri" w:hAnsi="Calibri" w:cs="Calibri"/>
          <w:color w:val="002060"/>
          <w:sz w:val="22"/>
          <w:szCs w:val="22"/>
        </w:rPr>
        <w:t>s with policy makers,</w:t>
      </w:r>
      <w:r w:rsidR="00555A0B">
        <w:rPr>
          <w:rFonts w:ascii="Calibri" w:hAnsi="Calibri" w:cs="Calibri"/>
          <w:color w:val="002060"/>
          <w:sz w:val="22"/>
          <w:szCs w:val="22"/>
        </w:rPr>
        <w:t xml:space="preserve"> the absence of a genuine commitment </w:t>
      </w:r>
      <w:r>
        <w:rPr>
          <w:rFonts w:ascii="Calibri" w:hAnsi="Calibri" w:cs="Calibri"/>
          <w:color w:val="002060"/>
          <w:sz w:val="22"/>
          <w:szCs w:val="22"/>
        </w:rPr>
        <w:t>by the Department</w:t>
      </w:r>
      <w:r w:rsidR="00555A0B">
        <w:rPr>
          <w:rFonts w:ascii="Calibri" w:hAnsi="Calibri" w:cs="Calibri"/>
          <w:color w:val="002060"/>
          <w:sz w:val="22"/>
          <w:szCs w:val="22"/>
        </w:rPr>
        <w:t xml:space="preserve"> to address </w:t>
      </w:r>
      <w:r w:rsidR="00A22C4B">
        <w:rPr>
          <w:rFonts w:ascii="Calibri" w:hAnsi="Calibri" w:cs="Calibri"/>
          <w:color w:val="002060"/>
          <w:sz w:val="22"/>
          <w:szCs w:val="22"/>
        </w:rPr>
        <w:t>this inequality</w:t>
      </w:r>
      <w:r w:rsidR="009478AF">
        <w:rPr>
          <w:rFonts w:ascii="Calibri" w:hAnsi="Calibri" w:cs="Calibri"/>
          <w:color w:val="002060"/>
          <w:sz w:val="22"/>
          <w:szCs w:val="22"/>
        </w:rPr>
        <w:t xml:space="preserve"> may jeopardise</w:t>
      </w:r>
      <w:r w:rsidR="00555A0B">
        <w:rPr>
          <w:rFonts w:ascii="Calibri" w:hAnsi="Calibri" w:cs="Calibri"/>
          <w:color w:val="002060"/>
          <w:sz w:val="22"/>
          <w:szCs w:val="22"/>
        </w:rPr>
        <w:t xml:space="preserve"> the possibility of future</w:t>
      </w:r>
      <w:r w:rsidR="006874E5">
        <w:rPr>
          <w:rFonts w:ascii="Calibri" w:hAnsi="Calibri" w:cs="Calibri"/>
          <w:color w:val="002060"/>
          <w:sz w:val="22"/>
          <w:szCs w:val="22"/>
        </w:rPr>
        <w:t xml:space="preserve"> best practice </w:t>
      </w:r>
      <w:r w:rsidR="00555A0B">
        <w:rPr>
          <w:rFonts w:ascii="Calibri" w:hAnsi="Calibri" w:cs="Calibri"/>
          <w:color w:val="002060"/>
          <w:sz w:val="22"/>
          <w:szCs w:val="22"/>
        </w:rPr>
        <w:t>collaborative wo</w:t>
      </w:r>
      <w:r w:rsidR="00A22C4B">
        <w:rPr>
          <w:rFonts w:ascii="Calibri" w:hAnsi="Calibri" w:cs="Calibri"/>
          <w:color w:val="002060"/>
          <w:sz w:val="22"/>
          <w:szCs w:val="22"/>
        </w:rPr>
        <w:t>rking,</w:t>
      </w:r>
      <w:r w:rsidR="00555A0B">
        <w:rPr>
          <w:rFonts w:ascii="Calibri" w:hAnsi="Calibri" w:cs="Calibri"/>
          <w:color w:val="002060"/>
          <w:sz w:val="22"/>
          <w:szCs w:val="22"/>
        </w:rPr>
        <w:t xml:space="preserve"> </w:t>
      </w:r>
      <w:r w:rsidR="006874E5">
        <w:rPr>
          <w:rFonts w:ascii="Calibri" w:hAnsi="Calibri" w:cs="Calibri"/>
          <w:color w:val="002060"/>
          <w:sz w:val="22"/>
          <w:szCs w:val="22"/>
        </w:rPr>
        <w:t xml:space="preserve">as </w:t>
      </w:r>
      <w:r>
        <w:rPr>
          <w:rFonts w:ascii="Calibri" w:hAnsi="Calibri" w:cs="Calibri"/>
          <w:color w:val="002060"/>
          <w:sz w:val="22"/>
          <w:szCs w:val="22"/>
        </w:rPr>
        <w:t xml:space="preserve">in </w:t>
      </w:r>
      <w:r w:rsidR="006874E5">
        <w:rPr>
          <w:rFonts w:ascii="Calibri" w:hAnsi="Calibri" w:cs="Calibri"/>
          <w:color w:val="002060"/>
          <w:sz w:val="22"/>
          <w:szCs w:val="22"/>
        </w:rPr>
        <w:t xml:space="preserve">the absence of a </w:t>
      </w:r>
      <w:r w:rsidR="009478AF">
        <w:rPr>
          <w:rFonts w:ascii="Calibri" w:hAnsi="Calibri" w:cs="Calibri"/>
          <w:color w:val="002060"/>
          <w:sz w:val="22"/>
          <w:szCs w:val="22"/>
        </w:rPr>
        <w:t xml:space="preserve">community </w:t>
      </w:r>
      <w:r w:rsidR="006874E5">
        <w:rPr>
          <w:rFonts w:ascii="Calibri" w:hAnsi="Calibri" w:cs="Calibri"/>
          <w:color w:val="002060"/>
          <w:sz w:val="22"/>
          <w:szCs w:val="22"/>
        </w:rPr>
        <w:t>workforce strategy</w:t>
      </w:r>
      <w:r w:rsidR="009478AF">
        <w:rPr>
          <w:rFonts w:ascii="Calibri" w:hAnsi="Calibri" w:cs="Calibri"/>
          <w:color w:val="002060"/>
          <w:sz w:val="22"/>
          <w:szCs w:val="22"/>
        </w:rPr>
        <w:t xml:space="preserve"> </w:t>
      </w:r>
      <w:r w:rsidR="006874E5">
        <w:rPr>
          <w:rFonts w:ascii="Calibri" w:hAnsi="Calibri" w:cs="Calibri"/>
          <w:color w:val="002060"/>
          <w:sz w:val="22"/>
          <w:szCs w:val="22"/>
        </w:rPr>
        <w:t>the sectors sustainability</w:t>
      </w:r>
      <w:r w:rsidR="009478AF">
        <w:rPr>
          <w:rFonts w:ascii="Calibri" w:hAnsi="Calibri" w:cs="Calibri"/>
          <w:color w:val="002060"/>
          <w:sz w:val="22"/>
          <w:szCs w:val="22"/>
        </w:rPr>
        <w:t xml:space="preserve"> is a relevant live risk</w:t>
      </w:r>
      <w:r w:rsidR="006874E5">
        <w:rPr>
          <w:rFonts w:ascii="Calibri" w:hAnsi="Calibri" w:cs="Calibri"/>
          <w:color w:val="002060"/>
          <w:sz w:val="22"/>
          <w:szCs w:val="22"/>
        </w:rPr>
        <w:t>.</w:t>
      </w:r>
    </w:p>
    <w:p w14:paraId="2D14AC85" w14:textId="77777777" w:rsidR="00E34624" w:rsidRPr="00E34624" w:rsidRDefault="00E34624" w:rsidP="00E34624">
      <w:pPr>
        <w:jc w:val="both"/>
        <w:rPr>
          <w:rFonts w:ascii="Calibri" w:hAnsi="Calibri" w:cs="Calibri"/>
          <w:color w:val="002060"/>
          <w:sz w:val="22"/>
          <w:szCs w:val="22"/>
        </w:rPr>
      </w:pPr>
    </w:p>
    <w:p w14:paraId="4641E326" w14:textId="211E0A11" w:rsidR="00BB2666" w:rsidRPr="001B16AD" w:rsidRDefault="006874E5" w:rsidP="001B16AD">
      <w:pPr>
        <w:spacing w:line="360" w:lineRule="auto"/>
        <w:jc w:val="both"/>
        <w:rPr>
          <w:rFonts w:ascii="Calibri" w:hAnsi="Calibri" w:cs="Calibri"/>
          <w:b/>
          <w:color w:val="002060"/>
          <w:sz w:val="22"/>
          <w:szCs w:val="22"/>
        </w:rPr>
      </w:pPr>
      <w:r>
        <w:rPr>
          <w:rFonts w:ascii="Calibri" w:hAnsi="Calibri" w:cs="Calibri"/>
          <w:b/>
          <w:color w:val="002060"/>
          <w:sz w:val="22"/>
          <w:szCs w:val="22"/>
        </w:rPr>
        <w:t xml:space="preserve">Current </w:t>
      </w:r>
      <w:r w:rsidR="00E34624" w:rsidRPr="00E34624">
        <w:rPr>
          <w:rFonts w:ascii="Calibri" w:hAnsi="Calibri" w:cs="Calibri"/>
          <w:b/>
          <w:color w:val="002060"/>
          <w:sz w:val="22"/>
          <w:szCs w:val="22"/>
        </w:rPr>
        <w:t xml:space="preserve">Workforce </w:t>
      </w:r>
      <w:r w:rsidR="001B16AD" w:rsidRPr="00E34624">
        <w:rPr>
          <w:rFonts w:ascii="Calibri" w:hAnsi="Calibri" w:cs="Calibri"/>
          <w:b/>
          <w:color w:val="002060"/>
          <w:sz w:val="22"/>
          <w:szCs w:val="22"/>
        </w:rPr>
        <w:t>Analysis</w:t>
      </w:r>
      <w:r w:rsidR="001B16AD">
        <w:rPr>
          <w:rFonts w:ascii="Calibri" w:hAnsi="Calibri" w:cs="Calibri"/>
          <w:b/>
          <w:color w:val="002060"/>
          <w:sz w:val="22"/>
          <w:szCs w:val="22"/>
        </w:rPr>
        <w:t xml:space="preserve">: </w:t>
      </w:r>
      <w:r>
        <w:rPr>
          <w:rFonts w:ascii="Calibri" w:hAnsi="Calibri" w:cs="Calibri"/>
          <w:color w:val="002060"/>
          <w:sz w:val="22"/>
          <w:szCs w:val="22"/>
        </w:rPr>
        <w:t>In the absence of an industry regulated pay and conditions framework most community organisations adopt</w:t>
      </w:r>
      <w:r w:rsidR="00BB2666" w:rsidRPr="006874E5">
        <w:rPr>
          <w:rFonts w:ascii="Calibri" w:hAnsi="Calibri" w:cs="Calibri"/>
          <w:color w:val="002060"/>
          <w:sz w:val="22"/>
          <w:szCs w:val="22"/>
        </w:rPr>
        <w:t xml:space="preserve"> the National Joint Council (NJC) salary scales and terms and conditions. Each year the Northern Ireland Council for Voluntary Action (NICVA) provides and update on these scales</w:t>
      </w:r>
      <w:r w:rsidR="00BB2666" w:rsidRPr="00E34624">
        <w:rPr>
          <w:rFonts w:ascii="Calibri" w:hAnsi="Calibri" w:cs="Calibri"/>
          <w:color w:val="002060"/>
          <w:sz w:val="22"/>
          <w:szCs w:val="22"/>
        </w:rPr>
        <w:t>.</w:t>
      </w:r>
      <w:r>
        <w:rPr>
          <w:rFonts w:ascii="Calibri" w:hAnsi="Calibri" w:cs="Calibri"/>
          <w:color w:val="002060"/>
          <w:sz w:val="22"/>
          <w:szCs w:val="22"/>
        </w:rPr>
        <w:t xml:space="preserve"> Figure 1 provides a comparison model for the three most common roles supported directly through Neighbourhood Renewal Funding.</w:t>
      </w:r>
    </w:p>
    <w:p w14:paraId="1059C317" w14:textId="2C7AED6B" w:rsidR="00337E42" w:rsidRDefault="00337E42" w:rsidP="001B16AD">
      <w:pPr>
        <w:spacing w:line="360" w:lineRule="auto"/>
        <w:jc w:val="both"/>
        <w:rPr>
          <w:rFonts w:ascii="Calibri" w:hAnsi="Calibri" w:cs="Calibri"/>
          <w:color w:val="002060"/>
          <w:sz w:val="22"/>
          <w:szCs w:val="22"/>
        </w:rPr>
      </w:pPr>
    </w:p>
    <w:p w14:paraId="03881385" w14:textId="5415984C" w:rsidR="00A22C4B" w:rsidRPr="006874E5" w:rsidRDefault="00A22C4B" w:rsidP="00A22C4B">
      <w:pPr>
        <w:spacing w:line="360" w:lineRule="auto"/>
        <w:rPr>
          <w:rFonts w:ascii="Calibri" w:hAnsi="Calibri" w:cs="Calibri"/>
          <w:color w:val="002060"/>
          <w:sz w:val="22"/>
          <w:szCs w:val="22"/>
        </w:rPr>
      </w:pPr>
      <w:r>
        <w:rPr>
          <w:rFonts w:ascii="Calibri" w:hAnsi="Calibri" w:cs="Calibri"/>
          <w:color w:val="002060"/>
          <w:sz w:val="22"/>
          <w:szCs w:val="22"/>
        </w:rPr>
        <w:t xml:space="preserve">The initial disparity began </w:t>
      </w:r>
      <w:r w:rsidR="009478AF">
        <w:rPr>
          <w:rFonts w:ascii="Calibri" w:hAnsi="Calibri" w:cs="Calibri"/>
          <w:color w:val="002060"/>
          <w:sz w:val="22"/>
          <w:szCs w:val="22"/>
        </w:rPr>
        <w:t>i</w:t>
      </w:r>
      <w:r w:rsidRPr="006874E5">
        <w:rPr>
          <w:rFonts w:ascii="Calibri" w:hAnsi="Calibri" w:cs="Calibri"/>
          <w:color w:val="002060"/>
          <w:sz w:val="22"/>
          <w:szCs w:val="22"/>
        </w:rPr>
        <w:t xml:space="preserve">n 2010 </w:t>
      </w:r>
      <w:r>
        <w:rPr>
          <w:rFonts w:ascii="Calibri" w:hAnsi="Calibri" w:cs="Calibri"/>
          <w:color w:val="002060"/>
          <w:sz w:val="22"/>
          <w:szCs w:val="22"/>
        </w:rPr>
        <w:t xml:space="preserve">when </w:t>
      </w:r>
      <w:r w:rsidRPr="006874E5">
        <w:rPr>
          <w:rFonts w:ascii="Calibri" w:hAnsi="Calibri" w:cs="Calibri"/>
          <w:color w:val="002060"/>
          <w:sz w:val="22"/>
          <w:szCs w:val="22"/>
        </w:rPr>
        <w:t xml:space="preserve">a pay freeze was introduced in line with the austerity agenda of the Tory government. This </w:t>
      </w:r>
      <w:proofErr w:type="gramStart"/>
      <w:r w:rsidRPr="006874E5">
        <w:rPr>
          <w:rFonts w:ascii="Calibri" w:hAnsi="Calibri" w:cs="Calibri"/>
          <w:color w:val="002060"/>
          <w:sz w:val="22"/>
          <w:szCs w:val="22"/>
        </w:rPr>
        <w:t>pay</w:t>
      </w:r>
      <w:proofErr w:type="gramEnd"/>
      <w:r w:rsidRPr="006874E5">
        <w:rPr>
          <w:rFonts w:ascii="Calibri" w:hAnsi="Calibri" w:cs="Calibri"/>
          <w:color w:val="002060"/>
          <w:sz w:val="22"/>
          <w:szCs w:val="22"/>
        </w:rPr>
        <w:t xml:space="preserve"> freeze ended </w:t>
      </w:r>
      <w:r>
        <w:rPr>
          <w:rFonts w:ascii="Calibri" w:hAnsi="Calibri" w:cs="Calibri"/>
          <w:color w:val="002060"/>
          <w:sz w:val="22"/>
          <w:szCs w:val="22"/>
        </w:rPr>
        <w:t>in 2013 when NJC scales rose 1%, however t</w:t>
      </w:r>
      <w:r w:rsidRPr="006874E5">
        <w:rPr>
          <w:rFonts w:ascii="Calibri" w:hAnsi="Calibri" w:cs="Calibri"/>
          <w:color w:val="002060"/>
          <w:sz w:val="22"/>
          <w:szCs w:val="22"/>
        </w:rPr>
        <w:t xml:space="preserve">he </w:t>
      </w:r>
      <w:r>
        <w:rPr>
          <w:rFonts w:ascii="Calibri" w:hAnsi="Calibri" w:cs="Calibri"/>
          <w:color w:val="002060"/>
          <w:sz w:val="22"/>
          <w:szCs w:val="22"/>
        </w:rPr>
        <w:t xml:space="preserve">then </w:t>
      </w:r>
      <w:r w:rsidRPr="006874E5">
        <w:rPr>
          <w:rFonts w:ascii="Calibri" w:hAnsi="Calibri" w:cs="Calibri"/>
          <w:color w:val="002060"/>
          <w:sz w:val="22"/>
          <w:szCs w:val="22"/>
        </w:rPr>
        <w:t>Department for Social Development maintained the wage freeze for organisations which they funded. After 10 years of austerity the Depa</w:t>
      </w:r>
      <w:r>
        <w:rPr>
          <w:rFonts w:ascii="Calibri" w:hAnsi="Calibri" w:cs="Calibri"/>
          <w:color w:val="002060"/>
          <w:sz w:val="22"/>
          <w:szCs w:val="22"/>
        </w:rPr>
        <w:t xml:space="preserve">rtment for Communities </w:t>
      </w:r>
      <w:r w:rsidRPr="006874E5">
        <w:rPr>
          <w:rFonts w:ascii="Calibri" w:hAnsi="Calibri" w:cs="Calibri"/>
          <w:color w:val="002060"/>
          <w:sz w:val="22"/>
          <w:szCs w:val="22"/>
        </w:rPr>
        <w:t>realise</w:t>
      </w:r>
      <w:r>
        <w:rPr>
          <w:rFonts w:ascii="Calibri" w:hAnsi="Calibri" w:cs="Calibri"/>
          <w:color w:val="002060"/>
          <w:sz w:val="22"/>
          <w:szCs w:val="22"/>
        </w:rPr>
        <w:t>d the injustice of this approach and i</w:t>
      </w:r>
      <w:r w:rsidRPr="006874E5">
        <w:rPr>
          <w:rFonts w:ascii="Calibri" w:hAnsi="Calibri" w:cs="Calibri"/>
          <w:color w:val="002060"/>
          <w:sz w:val="22"/>
          <w:szCs w:val="22"/>
        </w:rPr>
        <w:t xml:space="preserve">n December 2021 a 2% consolidated and a 7% non-consolidated pay increase was provided by the Department. In the financial year 2022/23 there was a further 2% consolidated increase </w:t>
      </w:r>
      <w:proofErr w:type="gramStart"/>
      <w:r w:rsidRPr="006874E5">
        <w:rPr>
          <w:rFonts w:ascii="Calibri" w:hAnsi="Calibri" w:cs="Calibri"/>
          <w:color w:val="002060"/>
          <w:sz w:val="22"/>
          <w:szCs w:val="22"/>
        </w:rPr>
        <w:t>and also</w:t>
      </w:r>
      <w:proofErr w:type="gramEnd"/>
      <w:r w:rsidRPr="006874E5">
        <w:rPr>
          <w:rFonts w:ascii="Calibri" w:hAnsi="Calibri" w:cs="Calibri"/>
          <w:color w:val="002060"/>
          <w:sz w:val="22"/>
          <w:szCs w:val="22"/>
        </w:rPr>
        <w:t xml:space="preserve"> a non-consolidated £1,925 payment </w:t>
      </w:r>
      <w:r w:rsidRPr="006874E5">
        <w:rPr>
          <w:rFonts w:ascii="Calibri" w:hAnsi="Calibri" w:cs="Calibri"/>
          <w:color w:val="002060"/>
          <w:sz w:val="22"/>
          <w:szCs w:val="22"/>
        </w:rPr>
        <w:lastRenderedPageBreak/>
        <w:t>(minus Employers National Insurance Contributions).</w:t>
      </w:r>
      <w:r>
        <w:rPr>
          <w:rFonts w:ascii="Calibri" w:hAnsi="Calibri" w:cs="Calibri"/>
          <w:color w:val="002060"/>
          <w:sz w:val="22"/>
          <w:szCs w:val="22"/>
        </w:rPr>
        <w:t xml:space="preserve"> </w:t>
      </w:r>
      <w:proofErr w:type="gramStart"/>
      <w:r>
        <w:rPr>
          <w:rFonts w:ascii="Calibri" w:hAnsi="Calibri" w:cs="Calibri"/>
          <w:color w:val="002060"/>
          <w:sz w:val="22"/>
          <w:szCs w:val="22"/>
        </w:rPr>
        <w:t>However</w:t>
      </w:r>
      <w:proofErr w:type="gramEnd"/>
      <w:r>
        <w:rPr>
          <w:rFonts w:ascii="Calibri" w:hAnsi="Calibri" w:cs="Calibri"/>
          <w:color w:val="002060"/>
          <w:sz w:val="22"/>
          <w:szCs w:val="22"/>
        </w:rPr>
        <w:t xml:space="preserve"> i</w:t>
      </w:r>
      <w:r w:rsidRPr="006874E5">
        <w:rPr>
          <w:rFonts w:ascii="Calibri" w:hAnsi="Calibri" w:cs="Calibri"/>
          <w:color w:val="002060"/>
          <w:sz w:val="22"/>
          <w:szCs w:val="22"/>
        </w:rPr>
        <w:t>n the current financial year that has been no wage increase.</w:t>
      </w:r>
    </w:p>
    <w:p w14:paraId="02F2E589" w14:textId="77777777" w:rsidR="00A22C4B" w:rsidRPr="00E34624" w:rsidRDefault="00A22C4B" w:rsidP="00E34624">
      <w:pPr>
        <w:jc w:val="both"/>
        <w:rPr>
          <w:rFonts w:ascii="Calibri" w:hAnsi="Calibri" w:cs="Calibri"/>
          <w:color w:val="002060"/>
          <w:sz w:val="22"/>
          <w:szCs w:val="22"/>
        </w:rPr>
      </w:pPr>
    </w:p>
    <w:tbl>
      <w:tblPr>
        <w:tblStyle w:val="TableGrid"/>
        <w:tblW w:w="0" w:type="auto"/>
        <w:tblLook w:val="04A0" w:firstRow="1" w:lastRow="0" w:firstColumn="1" w:lastColumn="0" w:noHBand="0" w:noVBand="1"/>
      </w:tblPr>
      <w:tblGrid>
        <w:gridCol w:w="9622"/>
      </w:tblGrid>
      <w:tr w:rsidR="00F0317B" w14:paraId="60C5D15C" w14:textId="77777777" w:rsidTr="00A22C4B">
        <w:trPr>
          <w:trHeight w:val="5611"/>
        </w:trPr>
        <w:tc>
          <w:tcPr>
            <w:tcW w:w="9622" w:type="dxa"/>
          </w:tcPr>
          <w:p w14:paraId="32DB3DAC" w14:textId="77777777" w:rsidR="00F0317B" w:rsidRDefault="00F0317B" w:rsidP="00F0317B">
            <w:pPr>
              <w:keepNext/>
            </w:pPr>
            <w:r>
              <w:rPr>
                <w:noProof/>
                <w:lang w:eastAsia="en-GB"/>
              </w:rPr>
              <w:drawing>
                <wp:inline distT="0" distB="0" distL="0" distR="0" wp14:anchorId="00F647DD" wp14:editId="032F96EC">
                  <wp:extent cx="5357495" cy="3587071"/>
                  <wp:effectExtent l="0" t="0" r="1905" b="0"/>
                  <wp:docPr id="449444584" name="Picture 3" descr="A graph of numbers and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65927" name="Picture 3" descr="A graph of numbers and percentages&#10;&#10;Description automatically generated"/>
                          <pic:cNvPicPr/>
                        </pic:nvPicPr>
                        <pic:blipFill rotWithShape="1">
                          <a:blip r:embed="rId7" cstate="print">
                            <a:extLst>
                              <a:ext uri="{28A0092B-C50C-407E-A947-70E740481C1C}">
                                <a14:useLocalDpi xmlns:a14="http://schemas.microsoft.com/office/drawing/2010/main" val="0"/>
                              </a:ext>
                            </a:extLst>
                          </a:blip>
                          <a:srcRect l="6440" t="8292" r="5949" b="8803"/>
                          <a:stretch/>
                        </pic:blipFill>
                        <pic:spPr bwMode="auto">
                          <a:xfrm>
                            <a:off x="0" y="0"/>
                            <a:ext cx="5358541" cy="3587771"/>
                          </a:xfrm>
                          <a:prstGeom prst="rect">
                            <a:avLst/>
                          </a:prstGeom>
                          <a:ln>
                            <a:noFill/>
                          </a:ln>
                          <a:extLst>
                            <a:ext uri="{53640926-AAD7-44D8-BBD7-CCE9431645EC}">
                              <a14:shadowObscured xmlns:a14="http://schemas.microsoft.com/office/drawing/2010/main"/>
                            </a:ext>
                          </a:extLst>
                        </pic:spPr>
                      </pic:pic>
                    </a:graphicData>
                  </a:graphic>
                </wp:inline>
              </w:drawing>
            </w:r>
          </w:p>
          <w:p w14:paraId="29028570" w14:textId="77C6AA6E" w:rsidR="00F0317B" w:rsidRPr="00F0317B" w:rsidRDefault="00F0317B" w:rsidP="00F0317B">
            <w:pPr>
              <w:pStyle w:val="Caption"/>
              <w:rPr>
                <w:b/>
                <w:bCs/>
                <w:i w:val="0"/>
                <w:iCs w:val="0"/>
                <w:sz w:val="20"/>
                <w:szCs w:val="20"/>
              </w:rPr>
            </w:pPr>
            <w:r w:rsidRPr="00BB2666">
              <w:rPr>
                <w:b/>
                <w:bCs/>
                <w:i w:val="0"/>
                <w:iCs w:val="0"/>
                <w:sz w:val="20"/>
                <w:szCs w:val="20"/>
              </w:rPr>
              <w:t xml:space="preserve">Figure </w:t>
            </w:r>
            <w:r w:rsidRPr="00BB2666">
              <w:rPr>
                <w:b/>
                <w:bCs/>
                <w:i w:val="0"/>
                <w:iCs w:val="0"/>
                <w:sz w:val="20"/>
                <w:szCs w:val="20"/>
              </w:rPr>
              <w:fldChar w:fldCharType="begin"/>
            </w:r>
            <w:r w:rsidRPr="00BB2666">
              <w:rPr>
                <w:b/>
                <w:bCs/>
                <w:i w:val="0"/>
                <w:iCs w:val="0"/>
                <w:sz w:val="20"/>
                <w:szCs w:val="20"/>
              </w:rPr>
              <w:instrText xml:space="preserve"> SEQ Figure \* ARABIC </w:instrText>
            </w:r>
            <w:r w:rsidRPr="00BB2666">
              <w:rPr>
                <w:b/>
                <w:bCs/>
                <w:i w:val="0"/>
                <w:iCs w:val="0"/>
                <w:sz w:val="20"/>
                <w:szCs w:val="20"/>
              </w:rPr>
              <w:fldChar w:fldCharType="separate"/>
            </w:r>
            <w:r w:rsidR="009B484E">
              <w:rPr>
                <w:b/>
                <w:bCs/>
                <w:i w:val="0"/>
                <w:iCs w:val="0"/>
                <w:noProof/>
                <w:sz w:val="20"/>
                <w:szCs w:val="20"/>
              </w:rPr>
              <w:t>1</w:t>
            </w:r>
            <w:r w:rsidRPr="00BB2666">
              <w:rPr>
                <w:b/>
                <w:bCs/>
                <w:i w:val="0"/>
                <w:iCs w:val="0"/>
                <w:sz w:val="20"/>
                <w:szCs w:val="20"/>
              </w:rPr>
              <w:fldChar w:fldCharType="end"/>
            </w:r>
            <w:r w:rsidRPr="00BB2666">
              <w:rPr>
                <w:b/>
                <w:bCs/>
                <w:i w:val="0"/>
                <w:iCs w:val="0"/>
                <w:sz w:val="20"/>
                <w:szCs w:val="20"/>
              </w:rPr>
              <w:t>: Example of neighbourhood renewal posts and NJC scales</w:t>
            </w:r>
          </w:p>
        </w:tc>
      </w:tr>
    </w:tbl>
    <w:p w14:paraId="5B06EA70" w14:textId="77777777" w:rsidR="00337E42" w:rsidRDefault="00337E42"/>
    <w:p w14:paraId="37B86A5B" w14:textId="53198771" w:rsidR="00667FDF" w:rsidRDefault="0020477A" w:rsidP="00A01E90">
      <w:pPr>
        <w:spacing w:line="360" w:lineRule="auto"/>
        <w:jc w:val="both"/>
        <w:rPr>
          <w:rFonts w:ascii="Calibri" w:hAnsi="Calibri" w:cs="Calibri"/>
          <w:color w:val="002060"/>
          <w:sz w:val="22"/>
          <w:szCs w:val="22"/>
        </w:rPr>
      </w:pPr>
      <w:r>
        <w:rPr>
          <w:rFonts w:ascii="Calibri" w:hAnsi="Calibri" w:cs="Calibri"/>
          <w:color w:val="002060"/>
          <w:sz w:val="22"/>
          <w:szCs w:val="22"/>
        </w:rPr>
        <w:t>The analysis in Figure 1 above demonstrates</w:t>
      </w:r>
      <w:r w:rsidR="00667FDF" w:rsidRPr="006874E5">
        <w:rPr>
          <w:rFonts w:ascii="Calibri" w:hAnsi="Calibri" w:cs="Calibri"/>
          <w:color w:val="002060"/>
          <w:sz w:val="22"/>
          <w:szCs w:val="22"/>
        </w:rPr>
        <w:t xml:space="preserve"> that</w:t>
      </w:r>
      <w:r w:rsidRPr="0020477A">
        <w:rPr>
          <w:rFonts w:ascii="Calibri" w:hAnsi="Calibri" w:cs="Calibri"/>
          <w:color w:val="002060"/>
          <w:sz w:val="22"/>
          <w:szCs w:val="22"/>
        </w:rPr>
        <w:t xml:space="preserve"> </w:t>
      </w:r>
      <w:r>
        <w:rPr>
          <w:rFonts w:ascii="Calibri" w:hAnsi="Calibri" w:cs="Calibri"/>
          <w:color w:val="002060"/>
          <w:sz w:val="22"/>
          <w:szCs w:val="22"/>
        </w:rPr>
        <w:t>the gulf between NJC scales and what is awarded is increasing dramatically with administrator’s salaries now</w:t>
      </w:r>
      <w:r w:rsidR="00667FDF" w:rsidRPr="006874E5">
        <w:rPr>
          <w:rFonts w:ascii="Calibri" w:hAnsi="Calibri" w:cs="Calibri"/>
          <w:color w:val="002060"/>
          <w:sz w:val="22"/>
          <w:szCs w:val="22"/>
        </w:rPr>
        <w:t xml:space="preserve"> 30% below NJC scales; Neighbo</w:t>
      </w:r>
      <w:r>
        <w:rPr>
          <w:rFonts w:ascii="Calibri" w:hAnsi="Calibri" w:cs="Calibri"/>
          <w:color w:val="002060"/>
          <w:sz w:val="22"/>
          <w:szCs w:val="22"/>
        </w:rPr>
        <w:t>urhood Renewal Co-ordinators now</w:t>
      </w:r>
      <w:r w:rsidR="00667FDF" w:rsidRPr="006874E5">
        <w:rPr>
          <w:rFonts w:ascii="Calibri" w:hAnsi="Calibri" w:cs="Calibri"/>
          <w:color w:val="002060"/>
          <w:sz w:val="22"/>
          <w:szCs w:val="22"/>
        </w:rPr>
        <w:t xml:space="preserve"> 28% below NJC; and Project Co-ordinators are 23% below.</w:t>
      </w:r>
    </w:p>
    <w:p w14:paraId="70FF7DDD" w14:textId="5CCFA43A" w:rsidR="00A22C4B" w:rsidRDefault="00A22C4B" w:rsidP="00A01E90">
      <w:pPr>
        <w:spacing w:line="360" w:lineRule="auto"/>
        <w:jc w:val="both"/>
        <w:rPr>
          <w:rFonts w:ascii="Calibri" w:hAnsi="Calibri" w:cs="Calibri"/>
          <w:color w:val="002060"/>
          <w:sz w:val="22"/>
          <w:szCs w:val="22"/>
        </w:rPr>
      </w:pPr>
    </w:p>
    <w:p w14:paraId="269B0B2D" w14:textId="4A0200F4" w:rsidR="00A22C4B" w:rsidRDefault="00A22C4B" w:rsidP="00A22C4B">
      <w:pPr>
        <w:spacing w:line="360" w:lineRule="auto"/>
        <w:rPr>
          <w:rFonts w:ascii="Calibri" w:hAnsi="Calibri" w:cs="Calibri"/>
          <w:color w:val="002060"/>
          <w:sz w:val="22"/>
          <w:szCs w:val="22"/>
        </w:rPr>
      </w:pPr>
      <w:r>
        <w:rPr>
          <w:rFonts w:ascii="Calibri" w:hAnsi="Calibri" w:cs="Calibri"/>
          <w:color w:val="002060"/>
          <w:sz w:val="22"/>
          <w:szCs w:val="22"/>
        </w:rPr>
        <w:t>As demonstrated by the comparison t</w:t>
      </w:r>
      <w:r w:rsidRPr="006874E5">
        <w:rPr>
          <w:rFonts w:ascii="Calibri" w:hAnsi="Calibri" w:cs="Calibri"/>
          <w:color w:val="002060"/>
          <w:sz w:val="22"/>
          <w:szCs w:val="22"/>
        </w:rPr>
        <w:t xml:space="preserve">he current funding position for </w:t>
      </w:r>
      <w:r>
        <w:rPr>
          <w:rFonts w:ascii="Calibri" w:hAnsi="Calibri" w:cs="Calibri"/>
          <w:color w:val="002060"/>
          <w:sz w:val="22"/>
          <w:szCs w:val="22"/>
        </w:rPr>
        <w:t xml:space="preserve">staff in </w:t>
      </w:r>
      <w:r w:rsidRPr="006874E5">
        <w:rPr>
          <w:rFonts w:ascii="Calibri" w:hAnsi="Calibri" w:cs="Calibri"/>
          <w:color w:val="002060"/>
          <w:sz w:val="22"/>
          <w:szCs w:val="22"/>
        </w:rPr>
        <w:t xml:space="preserve">community organisations </w:t>
      </w:r>
      <w:r>
        <w:rPr>
          <w:rFonts w:ascii="Calibri" w:hAnsi="Calibri" w:cs="Calibri"/>
          <w:color w:val="002060"/>
          <w:sz w:val="22"/>
          <w:szCs w:val="22"/>
        </w:rPr>
        <w:t xml:space="preserve">directly funded to </w:t>
      </w:r>
      <w:r w:rsidRPr="006874E5">
        <w:rPr>
          <w:rFonts w:ascii="Calibri" w:hAnsi="Calibri" w:cs="Calibri"/>
          <w:color w:val="002060"/>
          <w:sz w:val="22"/>
          <w:szCs w:val="22"/>
        </w:rPr>
        <w:t>deliver</w:t>
      </w:r>
      <w:r>
        <w:rPr>
          <w:rFonts w:ascii="Calibri" w:hAnsi="Calibri" w:cs="Calibri"/>
          <w:color w:val="002060"/>
          <w:sz w:val="22"/>
          <w:szCs w:val="22"/>
        </w:rPr>
        <w:t>ing the People &amp; Place strategy is no longer sustainable, particularly in the current economic landscape.</w:t>
      </w:r>
    </w:p>
    <w:p w14:paraId="49EB6A68" w14:textId="53F88EF4" w:rsidR="00A22C4B" w:rsidRDefault="00A22C4B" w:rsidP="00A22C4B">
      <w:pPr>
        <w:spacing w:line="360" w:lineRule="auto"/>
        <w:rPr>
          <w:rFonts w:ascii="Calibri" w:hAnsi="Calibri" w:cs="Calibri"/>
          <w:color w:val="002060"/>
          <w:sz w:val="22"/>
          <w:szCs w:val="22"/>
        </w:rPr>
      </w:pPr>
    </w:p>
    <w:p w14:paraId="6C918F97" w14:textId="77777777" w:rsidR="009478AF" w:rsidRDefault="009478AF" w:rsidP="009478AF">
      <w:pPr>
        <w:spacing w:line="360" w:lineRule="auto"/>
        <w:jc w:val="both"/>
        <w:rPr>
          <w:rFonts w:ascii="Calibri" w:hAnsi="Calibri" w:cs="Calibri"/>
          <w:color w:val="002060"/>
          <w:sz w:val="22"/>
          <w:szCs w:val="22"/>
        </w:rPr>
      </w:pPr>
      <w:r w:rsidRPr="00A01E90">
        <w:rPr>
          <w:rFonts w:ascii="Calibri" w:hAnsi="Calibri" w:cs="Calibri"/>
          <w:color w:val="002060"/>
          <w:sz w:val="22"/>
          <w:szCs w:val="22"/>
        </w:rPr>
        <w:t xml:space="preserve">The issue of pay and conditions is not the primary factor in drawing people to work in the most deprived communities. However, the decline in wages relative to other funders means that it is difficult to recruit and sustain key posts within community organisations. </w:t>
      </w:r>
    </w:p>
    <w:p w14:paraId="01910F3F" w14:textId="7D281A6F" w:rsidR="009478AF" w:rsidRDefault="009478AF" w:rsidP="00A22C4B">
      <w:pPr>
        <w:spacing w:line="360" w:lineRule="auto"/>
        <w:rPr>
          <w:rFonts w:ascii="Calibri" w:hAnsi="Calibri" w:cs="Calibri"/>
          <w:color w:val="002060"/>
          <w:sz w:val="22"/>
          <w:szCs w:val="22"/>
        </w:rPr>
      </w:pPr>
    </w:p>
    <w:p w14:paraId="53CEC977" w14:textId="77777777" w:rsidR="009478AF" w:rsidRDefault="009478AF" w:rsidP="009478AF">
      <w:pPr>
        <w:spacing w:line="360" w:lineRule="auto"/>
        <w:jc w:val="both"/>
        <w:rPr>
          <w:rFonts w:ascii="Calibri" w:hAnsi="Calibri" w:cs="Calibri"/>
          <w:color w:val="002060"/>
          <w:sz w:val="22"/>
          <w:szCs w:val="22"/>
        </w:rPr>
      </w:pPr>
      <w:r w:rsidRPr="00A01E90">
        <w:rPr>
          <w:rFonts w:ascii="Calibri" w:hAnsi="Calibri" w:cs="Calibri"/>
          <w:color w:val="002060"/>
          <w:sz w:val="22"/>
          <w:szCs w:val="22"/>
        </w:rPr>
        <w:t xml:space="preserve">The </w:t>
      </w:r>
      <w:proofErr w:type="gramStart"/>
      <w:r w:rsidRPr="00A01E90">
        <w:rPr>
          <w:rFonts w:ascii="Calibri" w:hAnsi="Calibri" w:cs="Calibri"/>
          <w:color w:val="002060"/>
          <w:sz w:val="22"/>
          <w:szCs w:val="22"/>
        </w:rPr>
        <w:t>Cost of Living</w:t>
      </w:r>
      <w:proofErr w:type="gramEnd"/>
      <w:r w:rsidRPr="00A01E90">
        <w:rPr>
          <w:rFonts w:ascii="Calibri" w:hAnsi="Calibri" w:cs="Calibri"/>
          <w:color w:val="002060"/>
          <w:sz w:val="22"/>
          <w:szCs w:val="22"/>
        </w:rPr>
        <w:t xml:space="preserve"> crisis has placed a huge challenge on staff who while committed to working in community organisations has pushed their wages to below</w:t>
      </w:r>
      <w:r>
        <w:rPr>
          <w:rFonts w:ascii="Calibri" w:hAnsi="Calibri" w:cs="Calibri"/>
          <w:color w:val="002060"/>
          <w:sz w:val="22"/>
          <w:szCs w:val="22"/>
        </w:rPr>
        <w:t xml:space="preserve"> the minimum acceptable levels required to sustainable them and their families</w:t>
      </w:r>
      <w:r w:rsidRPr="00A01E90">
        <w:rPr>
          <w:rFonts w:ascii="Calibri" w:hAnsi="Calibri" w:cs="Calibri"/>
          <w:color w:val="002060"/>
          <w:sz w:val="22"/>
          <w:szCs w:val="22"/>
        </w:rPr>
        <w:t>.</w:t>
      </w:r>
    </w:p>
    <w:p w14:paraId="068B1DAC" w14:textId="77777777" w:rsidR="009478AF" w:rsidRDefault="009478AF" w:rsidP="00A22C4B">
      <w:pPr>
        <w:spacing w:line="360" w:lineRule="auto"/>
        <w:rPr>
          <w:rFonts w:ascii="Calibri" w:hAnsi="Calibri" w:cs="Calibri"/>
          <w:color w:val="002060"/>
          <w:sz w:val="22"/>
          <w:szCs w:val="22"/>
        </w:rPr>
      </w:pPr>
    </w:p>
    <w:p w14:paraId="5A0F725B" w14:textId="1AA12332" w:rsidR="00A22C4B" w:rsidRPr="00A01E90" w:rsidRDefault="00A22C4B" w:rsidP="00A22C4B">
      <w:pPr>
        <w:spacing w:line="360" w:lineRule="auto"/>
        <w:jc w:val="both"/>
        <w:rPr>
          <w:rFonts w:ascii="Calibri" w:hAnsi="Calibri" w:cs="Calibri"/>
          <w:color w:val="002060"/>
          <w:sz w:val="22"/>
          <w:szCs w:val="22"/>
        </w:rPr>
      </w:pPr>
      <w:r w:rsidRPr="00A01E90">
        <w:rPr>
          <w:rFonts w:ascii="Calibri" w:hAnsi="Calibri" w:cs="Calibri"/>
          <w:color w:val="002060"/>
          <w:sz w:val="22"/>
          <w:szCs w:val="22"/>
        </w:rPr>
        <w:lastRenderedPageBreak/>
        <w:t>The current NJC pay claim is for a 10% increase or a £3,000 across the board wage increase across all NJC pay scales. Therefore, if we do nothing the average decline with be -29%.</w:t>
      </w:r>
      <w:r w:rsidR="001B16AD" w:rsidRPr="001B16AD">
        <w:rPr>
          <w:rFonts w:ascii="Calibri" w:hAnsi="Calibri" w:cs="Calibri"/>
          <w:color w:val="002060"/>
          <w:sz w:val="22"/>
          <w:szCs w:val="22"/>
        </w:rPr>
        <w:t xml:space="preserve"> </w:t>
      </w:r>
      <w:r w:rsidR="001B16AD" w:rsidRPr="00A01E90">
        <w:rPr>
          <w:rFonts w:ascii="Calibri" w:hAnsi="Calibri" w:cs="Calibri"/>
          <w:color w:val="002060"/>
          <w:sz w:val="22"/>
          <w:szCs w:val="22"/>
        </w:rPr>
        <w:t>Figure 2 shows</w:t>
      </w:r>
      <w:r w:rsidR="001B16AD">
        <w:rPr>
          <w:rFonts w:ascii="Calibri" w:hAnsi="Calibri" w:cs="Calibri"/>
          <w:color w:val="002060"/>
          <w:sz w:val="22"/>
          <w:szCs w:val="22"/>
        </w:rPr>
        <w:t xml:space="preserve"> the dramatic decline in the relevance of community salaries funded by the Department</w:t>
      </w:r>
      <w:r w:rsidR="001B16AD" w:rsidRPr="00A01E90">
        <w:rPr>
          <w:rFonts w:ascii="Calibri" w:hAnsi="Calibri" w:cs="Calibri"/>
          <w:color w:val="002060"/>
          <w:sz w:val="22"/>
          <w:szCs w:val="22"/>
        </w:rPr>
        <w:t>.</w:t>
      </w:r>
    </w:p>
    <w:p w14:paraId="0B6C3554" w14:textId="3546C981" w:rsidR="00A22C4B" w:rsidRPr="00A22C4B" w:rsidRDefault="00A22C4B" w:rsidP="00A22C4B">
      <w:pPr>
        <w:spacing w:line="360" w:lineRule="auto"/>
        <w:jc w:val="both"/>
        <w:rPr>
          <w:rFonts w:ascii="Calibri" w:hAnsi="Calibri" w:cs="Calibri"/>
          <w:color w:val="002060"/>
          <w:sz w:val="22"/>
          <w:szCs w:val="22"/>
        </w:rPr>
      </w:pPr>
    </w:p>
    <w:tbl>
      <w:tblPr>
        <w:tblStyle w:val="TableGrid"/>
        <w:tblW w:w="0" w:type="auto"/>
        <w:tblLook w:val="04A0" w:firstRow="1" w:lastRow="0" w:firstColumn="1" w:lastColumn="0" w:noHBand="0" w:noVBand="1"/>
      </w:tblPr>
      <w:tblGrid>
        <w:gridCol w:w="9622"/>
      </w:tblGrid>
      <w:tr w:rsidR="00F0317B" w14:paraId="33A87B2A" w14:textId="77777777" w:rsidTr="00F0317B">
        <w:tc>
          <w:tcPr>
            <w:tcW w:w="9622" w:type="dxa"/>
          </w:tcPr>
          <w:p w14:paraId="115EAF18" w14:textId="77777777" w:rsidR="00F0317B" w:rsidRDefault="00F0317B" w:rsidP="00F0317B">
            <w:pPr>
              <w:keepNext/>
            </w:pPr>
            <w:r>
              <w:rPr>
                <w:noProof/>
                <w:lang w:eastAsia="en-GB"/>
              </w:rPr>
              <w:drawing>
                <wp:inline distT="0" distB="0" distL="0" distR="0" wp14:anchorId="768A7611" wp14:editId="38E05DF1">
                  <wp:extent cx="5373311" cy="3720905"/>
                  <wp:effectExtent l="0" t="0" r="0" b="635"/>
                  <wp:docPr id="499307635" name="Picture 4" descr="A graph showing a graph showing a graph showing a graph showing a graph showing a graph showing a graph showing a graph showing a graph showing a graph showing a graph showing a graph showing a graph sho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07635" name="Picture 4" descr="A graph showing a graph showing a graph showing a graph showing a graph showing a graph showing a graph showing a graph showing a graph showing a graph showing a graph showing a graph showing a graph showing&#10;&#10;Description automatically generated"/>
                          <pic:cNvPicPr/>
                        </pic:nvPicPr>
                        <pic:blipFill rotWithShape="1">
                          <a:blip r:embed="rId8" cstate="print">
                            <a:extLst>
                              <a:ext uri="{28A0092B-C50C-407E-A947-70E740481C1C}">
                                <a14:useLocalDpi xmlns:a14="http://schemas.microsoft.com/office/drawing/2010/main" val="0"/>
                              </a:ext>
                            </a:extLst>
                          </a:blip>
                          <a:srcRect l="6095" t="7639" r="6035" b="6360"/>
                          <a:stretch/>
                        </pic:blipFill>
                        <pic:spPr bwMode="auto">
                          <a:xfrm>
                            <a:off x="0" y="0"/>
                            <a:ext cx="5374407" cy="3721664"/>
                          </a:xfrm>
                          <a:prstGeom prst="rect">
                            <a:avLst/>
                          </a:prstGeom>
                          <a:ln>
                            <a:noFill/>
                          </a:ln>
                          <a:extLst>
                            <a:ext uri="{53640926-AAD7-44D8-BBD7-CCE9431645EC}">
                              <a14:shadowObscured xmlns:a14="http://schemas.microsoft.com/office/drawing/2010/main"/>
                            </a:ext>
                          </a:extLst>
                        </pic:spPr>
                      </pic:pic>
                    </a:graphicData>
                  </a:graphic>
                </wp:inline>
              </w:drawing>
            </w:r>
          </w:p>
          <w:p w14:paraId="6A3FFBB7" w14:textId="63F6C96F" w:rsidR="00F0317B" w:rsidRPr="00F0317B" w:rsidRDefault="00F0317B" w:rsidP="00F0317B">
            <w:pPr>
              <w:pStyle w:val="Caption"/>
              <w:rPr>
                <w:b/>
                <w:bCs/>
                <w:i w:val="0"/>
                <w:iCs w:val="0"/>
                <w:sz w:val="20"/>
                <w:szCs w:val="20"/>
              </w:rPr>
            </w:pPr>
            <w:r w:rsidRPr="004E7C55">
              <w:rPr>
                <w:b/>
                <w:bCs/>
                <w:i w:val="0"/>
                <w:iCs w:val="0"/>
                <w:sz w:val="20"/>
                <w:szCs w:val="20"/>
              </w:rPr>
              <w:t xml:space="preserve">Figure </w:t>
            </w:r>
            <w:r w:rsidRPr="004E7C55">
              <w:rPr>
                <w:b/>
                <w:bCs/>
                <w:i w:val="0"/>
                <w:iCs w:val="0"/>
                <w:sz w:val="20"/>
                <w:szCs w:val="20"/>
              </w:rPr>
              <w:fldChar w:fldCharType="begin"/>
            </w:r>
            <w:r w:rsidRPr="004E7C55">
              <w:rPr>
                <w:b/>
                <w:bCs/>
                <w:i w:val="0"/>
                <w:iCs w:val="0"/>
                <w:sz w:val="20"/>
                <w:szCs w:val="20"/>
              </w:rPr>
              <w:instrText xml:space="preserve"> SEQ Figure \* ARABIC </w:instrText>
            </w:r>
            <w:r w:rsidRPr="004E7C55">
              <w:rPr>
                <w:b/>
                <w:bCs/>
                <w:i w:val="0"/>
                <w:iCs w:val="0"/>
                <w:sz w:val="20"/>
                <w:szCs w:val="20"/>
              </w:rPr>
              <w:fldChar w:fldCharType="separate"/>
            </w:r>
            <w:r w:rsidR="009B484E">
              <w:rPr>
                <w:b/>
                <w:bCs/>
                <w:i w:val="0"/>
                <w:iCs w:val="0"/>
                <w:noProof/>
                <w:sz w:val="20"/>
                <w:szCs w:val="20"/>
              </w:rPr>
              <w:t>2</w:t>
            </w:r>
            <w:r w:rsidRPr="004E7C55">
              <w:rPr>
                <w:b/>
                <w:bCs/>
                <w:i w:val="0"/>
                <w:iCs w:val="0"/>
                <w:sz w:val="20"/>
                <w:szCs w:val="20"/>
              </w:rPr>
              <w:fldChar w:fldCharType="end"/>
            </w:r>
            <w:r w:rsidRPr="004E7C55">
              <w:rPr>
                <w:b/>
                <w:bCs/>
                <w:i w:val="0"/>
                <w:iCs w:val="0"/>
                <w:sz w:val="20"/>
                <w:szCs w:val="20"/>
              </w:rPr>
              <w:t>: Wage declines for DfC funded</w:t>
            </w:r>
            <w:r w:rsidRPr="004E7C55">
              <w:rPr>
                <w:b/>
                <w:bCs/>
                <w:i w:val="0"/>
                <w:iCs w:val="0"/>
                <w:noProof/>
                <w:sz w:val="20"/>
                <w:szCs w:val="20"/>
              </w:rPr>
              <w:t xml:space="preserve"> posts 2009-2023</w:t>
            </w:r>
          </w:p>
        </w:tc>
      </w:tr>
    </w:tbl>
    <w:p w14:paraId="4667583C" w14:textId="77777777" w:rsidR="00F0317B" w:rsidRDefault="00F0317B"/>
    <w:p w14:paraId="104A7C7B" w14:textId="77777777" w:rsidR="00D61A04" w:rsidRDefault="00D61A04" w:rsidP="00BB2666"/>
    <w:p w14:paraId="2A5B4731" w14:textId="336B20E5" w:rsidR="00A22C4B" w:rsidRDefault="004E7C55" w:rsidP="00A01E90">
      <w:pPr>
        <w:spacing w:line="360" w:lineRule="auto"/>
        <w:jc w:val="both"/>
        <w:rPr>
          <w:rFonts w:ascii="Calibri" w:hAnsi="Calibri" w:cs="Calibri"/>
          <w:color w:val="002060"/>
          <w:sz w:val="22"/>
          <w:szCs w:val="22"/>
        </w:rPr>
      </w:pPr>
      <w:r w:rsidRPr="00A01E90">
        <w:rPr>
          <w:rFonts w:ascii="Calibri" w:hAnsi="Calibri" w:cs="Calibri"/>
          <w:color w:val="002060"/>
          <w:sz w:val="22"/>
          <w:szCs w:val="22"/>
        </w:rPr>
        <w:t>In an increasing number of cases management committees are subsidising staff sa</w:t>
      </w:r>
      <w:r w:rsidR="0020477A">
        <w:rPr>
          <w:rFonts w:ascii="Calibri" w:hAnsi="Calibri" w:cs="Calibri"/>
          <w:color w:val="002060"/>
          <w:sz w:val="22"/>
          <w:szCs w:val="22"/>
        </w:rPr>
        <w:t>laries from reserves. This suggests</w:t>
      </w:r>
      <w:r w:rsidRPr="00A01E90">
        <w:rPr>
          <w:rFonts w:ascii="Calibri" w:hAnsi="Calibri" w:cs="Calibri"/>
          <w:color w:val="002060"/>
          <w:sz w:val="22"/>
          <w:szCs w:val="22"/>
        </w:rPr>
        <w:t xml:space="preserve"> that the Department of Communities no longer adheres</w:t>
      </w:r>
      <w:r w:rsidR="001B16AD">
        <w:rPr>
          <w:rFonts w:ascii="Calibri" w:hAnsi="Calibri" w:cs="Calibri"/>
          <w:color w:val="002060"/>
          <w:sz w:val="22"/>
          <w:szCs w:val="22"/>
        </w:rPr>
        <w:t xml:space="preserve"> or values </w:t>
      </w:r>
      <w:r w:rsidRPr="00A01E90">
        <w:rPr>
          <w:rFonts w:ascii="Calibri" w:hAnsi="Calibri" w:cs="Calibri"/>
          <w:color w:val="002060"/>
          <w:sz w:val="22"/>
          <w:szCs w:val="22"/>
        </w:rPr>
        <w:t>the</w:t>
      </w:r>
      <w:r w:rsidR="0020477A">
        <w:rPr>
          <w:rFonts w:ascii="Calibri" w:hAnsi="Calibri" w:cs="Calibri"/>
          <w:color w:val="002060"/>
          <w:sz w:val="22"/>
          <w:szCs w:val="22"/>
        </w:rPr>
        <w:t xml:space="preserve"> concept of Full Cost Recovery for their community partners.</w:t>
      </w:r>
    </w:p>
    <w:p w14:paraId="6FE7A27D" w14:textId="77777777" w:rsidR="00A22C4B" w:rsidRDefault="00A22C4B" w:rsidP="00A01E90">
      <w:pPr>
        <w:spacing w:line="360" w:lineRule="auto"/>
        <w:jc w:val="both"/>
        <w:rPr>
          <w:rFonts w:ascii="Calibri" w:hAnsi="Calibri" w:cs="Calibri"/>
          <w:color w:val="002060"/>
          <w:sz w:val="22"/>
          <w:szCs w:val="22"/>
        </w:rPr>
      </w:pPr>
    </w:p>
    <w:p w14:paraId="076447EF" w14:textId="43087BDB" w:rsidR="004E7C55" w:rsidRPr="00A01E90" w:rsidRDefault="001B16AD" w:rsidP="00A01E90">
      <w:pPr>
        <w:spacing w:line="360" w:lineRule="auto"/>
        <w:jc w:val="both"/>
        <w:rPr>
          <w:rFonts w:ascii="Calibri" w:hAnsi="Calibri" w:cs="Calibri"/>
          <w:color w:val="002060"/>
          <w:sz w:val="22"/>
          <w:szCs w:val="22"/>
        </w:rPr>
      </w:pPr>
      <w:r>
        <w:rPr>
          <w:rFonts w:ascii="Calibri" w:hAnsi="Calibri" w:cs="Calibri"/>
          <w:color w:val="002060"/>
          <w:sz w:val="22"/>
          <w:szCs w:val="22"/>
        </w:rPr>
        <w:t>We also have an unwelcome</w:t>
      </w:r>
      <w:r w:rsidR="004E7C55" w:rsidRPr="00A01E90">
        <w:rPr>
          <w:rFonts w:ascii="Calibri" w:hAnsi="Calibri" w:cs="Calibri"/>
          <w:color w:val="002060"/>
          <w:sz w:val="22"/>
          <w:szCs w:val="22"/>
        </w:rPr>
        <w:t xml:space="preserve"> development within community organisations deliver</w:t>
      </w:r>
      <w:r>
        <w:rPr>
          <w:rFonts w:ascii="Calibri" w:hAnsi="Calibri" w:cs="Calibri"/>
          <w:color w:val="002060"/>
          <w:sz w:val="22"/>
          <w:szCs w:val="22"/>
        </w:rPr>
        <w:t>ing neighbourhood renewal when</w:t>
      </w:r>
      <w:r w:rsidR="004E7C55" w:rsidRPr="00A01E90">
        <w:rPr>
          <w:rFonts w:ascii="Calibri" w:hAnsi="Calibri" w:cs="Calibri"/>
          <w:color w:val="002060"/>
          <w:sz w:val="22"/>
          <w:szCs w:val="22"/>
        </w:rPr>
        <w:t xml:space="preserve"> in some cases managers are on lower wages than the staff they manage</w:t>
      </w:r>
      <w:r w:rsidR="001D5561" w:rsidRPr="00A01E90">
        <w:rPr>
          <w:rFonts w:ascii="Calibri" w:hAnsi="Calibri" w:cs="Calibri"/>
          <w:color w:val="002060"/>
          <w:sz w:val="22"/>
          <w:szCs w:val="22"/>
        </w:rPr>
        <w:t>. This</w:t>
      </w:r>
      <w:r>
        <w:rPr>
          <w:rFonts w:ascii="Calibri" w:hAnsi="Calibri" w:cs="Calibri"/>
          <w:color w:val="002060"/>
          <w:sz w:val="22"/>
          <w:szCs w:val="22"/>
        </w:rPr>
        <w:t xml:space="preserve"> anomaly </w:t>
      </w:r>
      <w:r w:rsidR="001D5561" w:rsidRPr="00A01E90">
        <w:rPr>
          <w:rFonts w:ascii="Calibri" w:hAnsi="Calibri" w:cs="Calibri"/>
          <w:color w:val="002060"/>
          <w:sz w:val="22"/>
          <w:szCs w:val="22"/>
        </w:rPr>
        <w:t>has been created by the manager being funded through the Department for Communities and other staff funder by another Department or another funder.</w:t>
      </w:r>
    </w:p>
    <w:p w14:paraId="0C1EE087" w14:textId="77777777" w:rsidR="001D5561" w:rsidRPr="00A01E90" w:rsidRDefault="001D5561" w:rsidP="00A01E90">
      <w:pPr>
        <w:spacing w:line="360" w:lineRule="auto"/>
        <w:jc w:val="both"/>
        <w:rPr>
          <w:rFonts w:ascii="Calibri" w:hAnsi="Calibri" w:cs="Calibri"/>
          <w:color w:val="002060"/>
          <w:sz w:val="22"/>
          <w:szCs w:val="22"/>
        </w:rPr>
      </w:pPr>
    </w:p>
    <w:p w14:paraId="48F21706" w14:textId="57A29A92" w:rsidR="001D5561" w:rsidRPr="00A01E90" w:rsidRDefault="001D5561" w:rsidP="00A01E90">
      <w:pPr>
        <w:spacing w:line="360" w:lineRule="auto"/>
        <w:jc w:val="both"/>
        <w:rPr>
          <w:rFonts w:ascii="Calibri" w:hAnsi="Calibri" w:cs="Calibri"/>
          <w:color w:val="002060"/>
          <w:sz w:val="22"/>
          <w:szCs w:val="22"/>
        </w:rPr>
      </w:pPr>
      <w:r w:rsidRPr="00A01E90">
        <w:rPr>
          <w:rFonts w:ascii="Calibri" w:hAnsi="Calibri" w:cs="Calibri"/>
          <w:color w:val="002060"/>
          <w:sz w:val="22"/>
          <w:szCs w:val="22"/>
        </w:rPr>
        <w:t>In 2021 the Department said that it was “determined to ensure that we as funders become and exemplar of a fair funding government organisation”</w:t>
      </w:r>
      <w:r w:rsidR="00A22C4B">
        <w:rPr>
          <w:rFonts w:ascii="Calibri" w:hAnsi="Calibri" w:cs="Calibri"/>
          <w:color w:val="002060"/>
          <w:sz w:val="22"/>
          <w:szCs w:val="22"/>
        </w:rPr>
        <w:t xml:space="preserve"> the workforce analysis undertaken amongst our Forum members identifies the reality as falling far short of the aspiration as stated.</w:t>
      </w:r>
    </w:p>
    <w:p w14:paraId="265EAA46" w14:textId="35862C07" w:rsidR="003F0400" w:rsidRDefault="003F0400" w:rsidP="00A01E90">
      <w:pPr>
        <w:spacing w:line="360" w:lineRule="auto"/>
        <w:jc w:val="both"/>
        <w:rPr>
          <w:rFonts w:ascii="Calibri" w:hAnsi="Calibri" w:cs="Calibri"/>
          <w:color w:val="002060"/>
          <w:sz w:val="22"/>
          <w:szCs w:val="22"/>
        </w:rPr>
      </w:pPr>
    </w:p>
    <w:p w14:paraId="7D07B053" w14:textId="7FE87431" w:rsidR="00E7672F" w:rsidRPr="001B16AD" w:rsidRDefault="00A01E90" w:rsidP="001B16AD">
      <w:pPr>
        <w:spacing w:line="360" w:lineRule="auto"/>
        <w:jc w:val="both"/>
        <w:rPr>
          <w:rFonts w:ascii="Calibri" w:hAnsi="Calibri" w:cs="Calibri"/>
          <w:b/>
          <w:bCs/>
          <w:color w:val="002060"/>
          <w:sz w:val="22"/>
          <w:szCs w:val="22"/>
        </w:rPr>
      </w:pPr>
      <w:r w:rsidRPr="00A01E90">
        <w:rPr>
          <w:rFonts w:ascii="Calibri" w:hAnsi="Calibri" w:cs="Calibri"/>
          <w:b/>
          <w:bCs/>
          <w:color w:val="002060"/>
          <w:sz w:val="22"/>
          <w:szCs w:val="22"/>
        </w:rPr>
        <w:lastRenderedPageBreak/>
        <w:t xml:space="preserve">The </w:t>
      </w:r>
      <w:proofErr w:type="gramStart"/>
      <w:r w:rsidRPr="00A01E90">
        <w:rPr>
          <w:rFonts w:ascii="Calibri" w:hAnsi="Calibri" w:cs="Calibri"/>
          <w:b/>
          <w:bCs/>
          <w:color w:val="002060"/>
          <w:sz w:val="22"/>
          <w:szCs w:val="22"/>
        </w:rPr>
        <w:t xml:space="preserve">Proposal </w:t>
      </w:r>
      <w:r w:rsidR="001B16AD">
        <w:rPr>
          <w:rFonts w:ascii="Calibri" w:hAnsi="Calibri" w:cs="Calibri"/>
          <w:b/>
          <w:bCs/>
          <w:color w:val="002060"/>
          <w:sz w:val="22"/>
          <w:szCs w:val="22"/>
        </w:rPr>
        <w:t xml:space="preserve"> :</w:t>
      </w:r>
      <w:proofErr w:type="gramEnd"/>
      <w:r w:rsidR="001B16AD">
        <w:rPr>
          <w:rFonts w:ascii="Calibri" w:hAnsi="Calibri" w:cs="Calibri"/>
          <w:b/>
          <w:bCs/>
          <w:color w:val="002060"/>
          <w:sz w:val="22"/>
          <w:szCs w:val="22"/>
        </w:rPr>
        <w:t xml:space="preserve"> </w:t>
      </w:r>
      <w:r w:rsidR="00E7672F">
        <w:rPr>
          <w:rFonts w:ascii="Calibri" w:hAnsi="Calibri" w:cs="Calibri"/>
          <w:color w:val="002060"/>
          <w:sz w:val="22"/>
          <w:szCs w:val="22"/>
        </w:rPr>
        <w:t>To address this inequality t</w:t>
      </w:r>
      <w:r w:rsidR="00E7672F" w:rsidRPr="00E7672F">
        <w:rPr>
          <w:rFonts w:ascii="Calibri" w:hAnsi="Calibri" w:cs="Calibri"/>
          <w:color w:val="002060"/>
          <w:sz w:val="22"/>
          <w:szCs w:val="22"/>
        </w:rPr>
        <w:t>he Department to support the commissioning of an independent benchmarking study into the pay and conditions of those working for community groups funded by the Department for Communities.</w:t>
      </w:r>
      <w:r w:rsidR="00E7672F">
        <w:rPr>
          <w:rFonts w:ascii="Calibri" w:hAnsi="Calibri" w:cs="Calibri"/>
          <w:color w:val="002060"/>
          <w:sz w:val="22"/>
          <w:szCs w:val="22"/>
        </w:rPr>
        <w:t xml:space="preserve"> It is our understanding that such an exercise was commissioned by Minister Hargey when in post therefore it may be that the findings form that </w:t>
      </w:r>
      <w:proofErr w:type="gramStart"/>
      <w:r w:rsidR="00E7672F">
        <w:rPr>
          <w:rFonts w:ascii="Calibri" w:hAnsi="Calibri" w:cs="Calibri"/>
          <w:color w:val="002060"/>
          <w:sz w:val="22"/>
          <w:szCs w:val="22"/>
        </w:rPr>
        <w:t>as yet</w:t>
      </w:r>
      <w:proofErr w:type="gramEnd"/>
      <w:r w:rsidR="00E7672F">
        <w:rPr>
          <w:rFonts w:ascii="Calibri" w:hAnsi="Calibri" w:cs="Calibri"/>
          <w:color w:val="002060"/>
          <w:sz w:val="22"/>
          <w:szCs w:val="22"/>
        </w:rPr>
        <w:t xml:space="preserve"> unpublished report need only be reviewed and updated.</w:t>
      </w:r>
    </w:p>
    <w:p w14:paraId="70213902" w14:textId="7EC50EA4" w:rsidR="00E7672F" w:rsidRDefault="00E7672F" w:rsidP="00E7672F">
      <w:pPr>
        <w:spacing w:line="360" w:lineRule="auto"/>
        <w:jc w:val="both"/>
        <w:rPr>
          <w:rFonts w:ascii="Calibri" w:hAnsi="Calibri" w:cs="Calibri"/>
          <w:color w:val="002060"/>
          <w:sz w:val="22"/>
          <w:szCs w:val="22"/>
        </w:rPr>
      </w:pPr>
    </w:p>
    <w:p w14:paraId="04100631" w14:textId="63835043" w:rsidR="001D5561" w:rsidRPr="00E7672F" w:rsidRDefault="00E7672F" w:rsidP="00E7672F">
      <w:pPr>
        <w:spacing w:line="360" w:lineRule="auto"/>
        <w:jc w:val="both"/>
        <w:rPr>
          <w:rFonts w:ascii="Calibri" w:hAnsi="Calibri" w:cs="Calibri"/>
          <w:color w:val="002060"/>
          <w:sz w:val="22"/>
          <w:szCs w:val="22"/>
        </w:rPr>
      </w:pPr>
      <w:r>
        <w:rPr>
          <w:rFonts w:ascii="Calibri" w:hAnsi="Calibri" w:cs="Calibri"/>
          <w:color w:val="002060"/>
          <w:sz w:val="22"/>
          <w:szCs w:val="22"/>
        </w:rPr>
        <w:t>However</w:t>
      </w:r>
      <w:r w:rsidR="001B16AD">
        <w:rPr>
          <w:rFonts w:ascii="Calibri" w:hAnsi="Calibri" w:cs="Calibri"/>
          <w:color w:val="002060"/>
          <w:sz w:val="22"/>
          <w:szCs w:val="22"/>
        </w:rPr>
        <w:t>,</w:t>
      </w:r>
      <w:r>
        <w:rPr>
          <w:rFonts w:ascii="Calibri" w:hAnsi="Calibri" w:cs="Calibri"/>
          <w:color w:val="002060"/>
          <w:sz w:val="22"/>
          <w:szCs w:val="22"/>
        </w:rPr>
        <w:t xml:space="preserve"> in</w:t>
      </w:r>
      <w:r w:rsidR="00A01E90" w:rsidRPr="00E7672F">
        <w:rPr>
          <w:rFonts w:ascii="Calibri" w:hAnsi="Calibri" w:cs="Calibri"/>
          <w:color w:val="002060"/>
          <w:sz w:val="22"/>
          <w:szCs w:val="22"/>
        </w:rPr>
        <w:t xml:space="preserve"> recognising that the</w:t>
      </w:r>
      <w:r>
        <w:rPr>
          <w:rFonts w:ascii="Calibri" w:hAnsi="Calibri" w:cs="Calibri"/>
          <w:color w:val="002060"/>
          <w:sz w:val="22"/>
          <w:szCs w:val="22"/>
        </w:rPr>
        <w:t xml:space="preserve"> complexity of the development and implementation of the </w:t>
      </w:r>
      <w:proofErr w:type="gramStart"/>
      <w:r>
        <w:rPr>
          <w:rFonts w:ascii="Calibri" w:hAnsi="Calibri" w:cs="Calibri"/>
          <w:color w:val="002060"/>
          <w:sz w:val="22"/>
          <w:szCs w:val="22"/>
        </w:rPr>
        <w:t xml:space="preserve">necessary </w:t>
      </w:r>
      <w:r w:rsidR="00A01E90" w:rsidRPr="00E7672F">
        <w:rPr>
          <w:rFonts w:ascii="Calibri" w:hAnsi="Calibri" w:cs="Calibri"/>
          <w:color w:val="002060"/>
          <w:sz w:val="22"/>
          <w:szCs w:val="22"/>
        </w:rPr>
        <w:t xml:space="preserve"> </w:t>
      </w:r>
      <w:r w:rsidRPr="00E7672F">
        <w:rPr>
          <w:rFonts w:ascii="Calibri" w:hAnsi="Calibri" w:cs="Calibri"/>
          <w:color w:val="002060"/>
          <w:sz w:val="22"/>
          <w:szCs w:val="22"/>
        </w:rPr>
        <w:t>comprehensive</w:t>
      </w:r>
      <w:proofErr w:type="gramEnd"/>
      <w:r w:rsidRPr="00E7672F">
        <w:rPr>
          <w:rFonts w:ascii="Calibri" w:hAnsi="Calibri" w:cs="Calibri"/>
          <w:color w:val="002060"/>
          <w:sz w:val="22"/>
          <w:szCs w:val="22"/>
        </w:rPr>
        <w:t>,</w:t>
      </w:r>
      <w:r w:rsidR="00A01E90" w:rsidRPr="00E7672F">
        <w:rPr>
          <w:rFonts w:ascii="Calibri" w:hAnsi="Calibri" w:cs="Calibri"/>
          <w:color w:val="002060"/>
          <w:sz w:val="22"/>
          <w:szCs w:val="22"/>
        </w:rPr>
        <w:t xml:space="preserve"> fair and equitable new approach to how essential community partners are funded </w:t>
      </w:r>
      <w:r w:rsidRPr="00E7672F">
        <w:rPr>
          <w:rFonts w:ascii="Calibri" w:hAnsi="Calibri" w:cs="Calibri"/>
          <w:color w:val="002060"/>
          <w:sz w:val="22"/>
          <w:szCs w:val="22"/>
        </w:rPr>
        <w:t xml:space="preserve">to ensure parity between their </w:t>
      </w:r>
      <w:r>
        <w:rPr>
          <w:rFonts w:ascii="Calibri" w:hAnsi="Calibri" w:cs="Calibri"/>
          <w:color w:val="002060"/>
          <w:sz w:val="22"/>
          <w:szCs w:val="22"/>
        </w:rPr>
        <w:t>staffs terms and con</w:t>
      </w:r>
      <w:r w:rsidRPr="00E7672F">
        <w:rPr>
          <w:rFonts w:ascii="Calibri" w:hAnsi="Calibri" w:cs="Calibri"/>
          <w:color w:val="002060"/>
          <w:sz w:val="22"/>
          <w:szCs w:val="22"/>
        </w:rPr>
        <w:t>dition</w:t>
      </w:r>
      <w:r>
        <w:rPr>
          <w:rFonts w:ascii="Calibri" w:hAnsi="Calibri" w:cs="Calibri"/>
          <w:color w:val="002060"/>
          <w:sz w:val="22"/>
          <w:szCs w:val="22"/>
        </w:rPr>
        <w:t xml:space="preserve"> </w:t>
      </w:r>
      <w:r w:rsidR="001B16AD">
        <w:rPr>
          <w:rFonts w:ascii="Calibri" w:hAnsi="Calibri" w:cs="Calibri"/>
          <w:color w:val="002060"/>
          <w:sz w:val="22"/>
          <w:szCs w:val="22"/>
        </w:rPr>
        <w:t>and</w:t>
      </w:r>
      <w:r>
        <w:rPr>
          <w:rFonts w:ascii="Calibri" w:hAnsi="Calibri" w:cs="Calibri"/>
          <w:color w:val="002060"/>
          <w:sz w:val="22"/>
          <w:szCs w:val="22"/>
        </w:rPr>
        <w:t xml:space="preserve"> </w:t>
      </w:r>
      <w:r w:rsidRPr="00E7672F">
        <w:rPr>
          <w:rFonts w:ascii="Calibri" w:hAnsi="Calibri" w:cs="Calibri"/>
          <w:color w:val="002060"/>
          <w:sz w:val="22"/>
          <w:szCs w:val="22"/>
        </w:rPr>
        <w:t xml:space="preserve">that of their </w:t>
      </w:r>
      <w:r>
        <w:rPr>
          <w:rFonts w:ascii="Calibri" w:hAnsi="Calibri" w:cs="Calibri"/>
          <w:color w:val="002060"/>
          <w:sz w:val="22"/>
          <w:szCs w:val="22"/>
        </w:rPr>
        <w:t>statutory colleagues we are proposing the following three short term interim options.</w:t>
      </w:r>
    </w:p>
    <w:p w14:paraId="78E7207C" w14:textId="77777777" w:rsidR="003F0400" w:rsidRDefault="003F0400"/>
    <w:tbl>
      <w:tblPr>
        <w:tblStyle w:val="TableGrid"/>
        <w:tblW w:w="9639" w:type="dxa"/>
        <w:tblLook w:val="04A0" w:firstRow="1" w:lastRow="0" w:firstColumn="1" w:lastColumn="0" w:noHBand="0" w:noVBand="1"/>
      </w:tblPr>
      <w:tblGrid>
        <w:gridCol w:w="1413"/>
        <w:gridCol w:w="4113"/>
        <w:gridCol w:w="4113"/>
      </w:tblGrid>
      <w:tr w:rsidR="003F0400" w:rsidRPr="00E7672F" w14:paraId="7761E181" w14:textId="77777777" w:rsidTr="00E7672F">
        <w:trPr>
          <w:trHeight w:val="567"/>
        </w:trPr>
        <w:tc>
          <w:tcPr>
            <w:tcW w:w="1413" w:type="dxa"/>
            <w:shd w:val="clear" w:color="auto" w:fill="002060"/>
            <w:vAlign w:val="center"/>
          </w:tcPr>
          <w:p w14:paraId="279D0CB9" w14:textId="12967D73" w:rsidR="003F0400" w:rsidRPr="00E7672F" w:rsidRDefault="003F0400" w:rsidP="00E7672F">
            <w:pPr>
              <w:jc w:val="center"/>
              <w:rPr>
                <w:rFonts w:ascii="Calibri" w:hAnsi="Calibri" w:cs="Calibri"/>
                <w:b/>
                <w:bCs/>
                <w:sz w:val="22"/>
                <w:szCs w:val="22"/>
              </w:rPr>
            </w:pPr>
            <w:r w:rsidRPr="00E7672F">
              <w:rPr>
                <w:rFonts w:ascii="Calibri" w:hAnsi="Calibri" w:cs="Calibri"/>
                <w:b/>
                <w:bCs/>
                <w:sz w:val="22"/>
                <w:szCs w:val="22"/>
              </w:rPr>
              <w:t>Option</w:t>
            </w:r>
          </w:p>
        </w:tc>
        <w:tc>
          <w:tcPr>
            <w:tcW w:w="4113" w:type="dxa"/>
            <w:shd w:val="clear" w:color="auto" w:fill="002060"/>
            <w:vAlign w:val="center"/>
          </w:tcPr>
          <w:p w14:paraId="4EFDDB57" w14:textId="04910563" w:rsidR="003F0400" w:rsidRPr="00E7672F" w:rsidRDefault="003F0400" w:rsidP="00E7672F">
            <w:pPr>
              <w:jc w:val="center"/>
              <w:rPr>
                <w:rFonts w:ascii="Calibri" w:hAnsi="Calibri" w:cs="Calibri"/>
                <w:b/>
                <w:bCs/>
                <w:sz w:val="22"/>
                <w:szCs w:val="22"/>
              </w:rPr>
            </w:pPr>
            <w:r w:rsidRPr="00E7672F">
              <w:rPr>
                <w:rFonts w:ascii="Calibri" w:hAnsi="Calibri" w:cs="Calibri"/>
                <w:b/>
                <w:bCs/>
                <w:sz w:val="22"/>
                <w:szCs w:val="22"/>
              </w:rPr>
              <w:t>Proposal</w:t>
            </w:r>
          </w:p>
        </w:tc>
        <w:tc>
          <w:tcPr>
            <w:tcW w:w="4113" w:type="dxa"/>
            <w:shd w:val="clear" w:color="auto" w:fill="002060"/>
            <w:vAlign w:val="center"/>
          </w:tcPr>
          <w:p w14:paraId="7BD4730A" w14:textId="0EB82A81" w:rsidR="003F0400" w:rsidRPr="00E7672F" w:rsidRDefault="003F0400" w:rsidP="00E7672F">
            <w:pPr>
              <w:jc w:val="center"/>
              <w:rPr>
                <w:rFonts w:ascii="Calibri" w:hAnsi="Calibri" w:cs="Calibri"/>
                <w:b/>
                <w:bCs/>
                <w:sz w:val="22"/>
                <w:szCs w:val="22"/>
              </w:rPr>
            </w:pPr>
            <w:r w:rsidRPr="00E7672F">
              <w:rPr>
                <w:rFonts w:ascii="Calibri" w:hAnsi="Calibri" w:cs="Calibri"/>
                <w:b/>
                <w:bCs/>
                <w:sz w:val="22"/>
                <w:szCs w:val="22"/>
              </w:rPr>
              <w:t>-/+</w:t>
            </w:r>
            <w:r w:rsidR="00876D68" w:rsidRPr="00E7672F">
              <w:rPr>
                <w:rFonts w:ascii="Calibri" w:hAnsi="Calibri" w:cs="Calibri"/>
                <w:b/>
                <w:bCs/>
                <w:sz w:val="22"/>
                <w:szCs w:val="22"/>
              </w:rPr>
              <w:t xml:space="preserve"> </w:t>
            </w:r>
            <w:r w:rsidR="00CD3CE0">
              <w:rPr>
                <w:rFonts w:ascii="Calibri" w:hAnsi="Calibri" w:cs="Calibri"/>
                <w:b/>
                <w:bCs/>
                <w:sz w:val="22"/>
                <w:szCs w:val="22"/>
              </w:rPr>
              <w:t>Impact of this option</w:t>
            </w:r>
          </w:p>
        </w:tc>
      </w:tr>
      <w:tr w:rsidR="003F0400" w:rsidRPr="00E7672F" w14:paraId="66E5624A" w14:textId="77777777" w:rsidTr="00E7672F">
        <w:tc>
          <w:tcPr>
            <w:tcW w:w="1413" w:type="dxa"/>
          </w:tcPr>
          <w:p w14:paraId="01150974" w14:textId="12137E5F"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Option 1</w:t>
            </w:r>
          </w:p>
        </w:tc>
        <w:tc>
          <w:tcPr>
            <w:tcW w:w="4113" w:type="dxa"/>
            <w:shd w:val="clear" w:color="auto" w:fill="FFFFFF" w:themeFill="background1"/>
          </w:tcPr>
          <w:p w14:paraId="2ACEA447" w14:textId="77777777"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Provide a £1,925 consolidated across the board increase to all staff. This is amount agreed by the National Joint Council on 1</w:t>
            </w:r>
            <w:r w:rsidRPr="00A3606B">
              <w:rPr>
                <w:rFonts w:ascii="Calibri" w:hAnsi="Calibri" w:cs="Calibri"/>
                <w:color w:val="002060"/>
                <w:sz w:val="22"/>
                <w:szCs w:val="22"/>
                <w:vertAlign w:val="superscript"/>
              </w:rPr>
              <w:t>st</w:t>
            </w:r>
            <w:r w:rsidRPr="00A3606B">
              <w:rPr>
                <w:rFonts w:ascii="Calibri" w:hAnsi="Calibri" w:cs="Calibri"/>
                <w:color w:val="002060"/>
                <w:sz w:val="22"/>
                <w:szCs w:val="22"/>
              </w:rPr>
              <w:t xml:space="preserve"> November 2023.</w:t>
            </w:r>
          </w:p>
          <w:p w14:paraId="1F1856B9" w14:textId="77777777" w:rsidR="003F0400" w:rsidRPr="00A3606B" w:rsidRDefault="003F0400" w:rsidP="00E7672F">
            <w:pPr>
              <w:spacing w:line="360" w:lineRule="auto"/>
              <w:rPr>
                <w:rFonts w:ascii="Calibri" w:hAnsi="Calibri" w:cs="Calibri"/>
                <w:color w:val="002060"/>
                <w:sz w:val="22"/>
                <w:szCs w:val="22"/>
              </w:rPr>
            </w:pPr>
          </w:p>
        </w:tc>
        <w:tc>
          <w:tcPr>
            <w:tcW w:w="4113" w:type="dxa"/>
            <w:shd w:val="clear" w:color="auto" w:fill="FFFFFF" w:themeFill="background1"/>
          </w:tcPr>
          <w:p w14:paraId="03C3B7CD" w14:textId="67210D10" w:rsidR="00D61A04" w:rsidRPr="00A3606B" w:rsidRDefault="00D61A04" w:rsidP="00E7672F">
            <w:pPr>
              <w:spacing w:line="360" w:lineRule="auto"/>
              <w:rPr>
                <w:rFonts w:ascii="Calibri" w:hAnsi="Calibri" w:cs="Calibri"/>
                <w:color w:val="002060"/>
                <w:sz w:val="22"/>
                <w:szCs w:val="22"/>
              </w:rPr>
            </w:pPr>
            <w:r w:rsidRPr="00A3606B">
              <w:rPr>
                <w:rFonts w:ascii="Calibri" w:hAnsi="Calibri" w:cs="Calibri"/>
                <w:color w:val="002060"/>
                <w:sz w:val="22"/>
                <w:szCs w:val="22"/>
              </w:rPr>
              <w:t>This will not bridge the gap that has arisen between the wages of neighbourhood renewal staff and the NJC scale. This would reduce the disparity of neighbourhood renewal wages in comparison to NJC to an average of 17%.</w:t>
            </w:r>
          </w:p>
        </w:tc>
      </w:tr>
      <w:tr w:rsidR="003F0400" w:rsidRPr="00E7672F" w14:paraId="4777C41D" w14:textId="77777777" w:rsidTr="00E7672F">
        <w:tc>
          <w:tcPr>
            <w:tcW w:w="1413" w:type="dxa"/>
            <w:shd w:val="clear" w:color="auto" w:fill="DAE9F7" w:themeFill="text2" w:themeFillTint="1A"/>
          </w:tcPr>
          <w:p w14:paraId="08F89AB9" w14:textId="4EB51B16"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Option 2</w:t>
            </w:r>
          </w:p>
        </w:tc>
        <w:tc>
          <w:tcPr>
            <w:tcW w:w="4113" w:type="dxa"/>
            <w:shd w:val="clear" w:color="auto" w:fill="DAE9F7" w:themeFill="text2" w:themeFillTint="1A"/>
          </w:tcPr>
          <w:p w14:paraId="3DFBFCD6" w14:textId="77777777"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Provide a £3,850 consolidated across the board increase to all staff. This amount was agreed in November 2022 and 2023 by the National Join Council.</w:t>
            </w:r>
          </w:p>
          <w:p w14:paraId="4454614E" w14:textId="77777777" w:rsidR="003F0400" w:rsidRPr="00A3606B" w:rsidRDefault="003F0400" w:rsidP="00E7672F">
            <w:pPr>
              <w:spacing w:line="360" w:lineRule="auto"/>
              <w:rPr>
                <w:rFonts w:ascii="Calibri" w:hAnsi="Calibri" w:cs="Calibri"/>
                <w:color w:val="002060"/>
                <w:sz w:val="22"/>
                <w:szCs w:val="22"/>
              </w:rPr>
            </w:pPr>
          </w:p>
        </w:tc>
        <w:tc>
          <w:tcPr>
            <w:tcW w:w="4113" w:type="dxa"/>
            <w:shd w:val="clear" w:color="auto" w:fill="DAE9F7" w:themeFill="text2" w:themeFillTint="1A"/>
          </w:tcPr>
          <w:p w14:paraId="7425CCB7" w14:textId="3641F37C" w:rsidR="003F0400" w:rsidRPr="00A3606B" w:rsidRDefault="00D61A04" w:rsidP="00E7672F">
            <w:pPr>
              <w:spacing w:line="360" w:lineRule="auto"/>
              <w:rPr>
                <w:rFonts w:ascii="Calibri" w:hAnsi="Calibri" w:cs="Calibri"/>
                <w:color w:val="002060"/>
                <w:sz w:val="22"/>
                <w:szCs w:val="22"/>
              </w:rPr>
            </w:pPr>
            <w:r w:rsidRPr="00A3606B">
              <w:rPr>
                <w:rFonts w:ascii="Calibri" w:hAnsi="Calibri" w:cs="Calibri"/>
                <w:color w:val="002060"/>
                <w:sz w:val="22"/>
                <w:szCs w:val="22"/>
              </w:rPr>
              <w:t>This would demonstrate a commitment from the Department for Communities to make a real effort to address a problem that has evolved over a decade or more and would have an impact</w:t>
            </w:r>
            <w:r w:rsidR="00876D68" w:rsidRPr="00A3606B">
              <w:rPr>
                <w:rFonts w:ascii="Calibri" w:hAnsi="Calibri" w:cs="Calibri"/>
                <w:color w:val="002060"/>
                <w:sz w:val="22"/>
                <w:szCs w:val="22"/>
              </w:rPr>
              <w:t>.</w:t>
            </w:r>
            <w:r w:rsidRPr="00A3606B">
              <w:rPr>
                <w:rFonts w:ascii="Calibri" w:hAnsi="Calibri" w:cs="Calibri"/>
                <w:color w:val="002060"/>
                <w:sz w:val="22"/>
                <w:szCs w:val="22"/>
              </w:rPr>
              <w:t xml:space="preserve"> </w:t>
            </w:r>
          </w:p>
        </w:tc>
      </w:tr>
      <w:tr w:rsidR="003F0400" w:rsidRPr="00E7672F" w14:paraId="07886369" w14:textId="77777777" w:rsidTr="00E7672F">
        <w:tc>
          <w:tcPr>
            <w:tcW w:w="1413" w:type="dxa"/>
            <w:shd w:val="clear" w:color="auto" w:fill="FFFFFF" w:themeFill="background1"/>
          </w:tcPr>
          <w:p w14:paraId="58AB767C" w14:textId="50EDC2C9"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Option 3</w:t>
            </w:r>
          </w:p>
        </w:tc>
        <w:tc>
          <w:tcPr>
            <w:tcW w:w="4113" w:type="dxa"/>
            <w:shd w:val="clear" w:color="auto" w:fill="FFFFFF" w:themeFill="background1"/>
          </w:tcPr>
          <w:p w14:paraId="6596D39C" w14:textId="77777777" w:rsidR="003F0400" w:rsidRPr="00A3606B" w:rsidRDefault="003F0400" w:rsidP="00E7672F">
            <w:pPr>
              <w:spacing w:line="360" w:lineRule="auto"/>
              <w:rPr>
                <w:rFonts w:ascii="Calibri" w:hAnsi="Calibri" w:cs="Calibri"/>
                <w:color w:val="002060"/>
                <w:sz w:val="22"/>
                <w:szCs w:val="22"/>
              </w:rPr>
            </w:pPr>
            <w:r w:rsidRPr="00A3606B">
              <w:rPr>
                <w:rFonts w:ascii="Calibri" w:hAnsi="Calibri" w:cs="Calibri"/>
                <w:color w:val="002060"/>
                <w:sz w:val="22"/>
                <w:szCs w:val="22"/>
              </w:rPr>
              <w:t>Provide a 5% consolidated increase and £1,500 non-consolidated payment in line with the increase agreed by civil servants.</w:t>
            </w:r>
          </w:p>
          <w:p w14:paraId="44ED46BE" w14:textId="77777777" w:rsidR="003F0400" w:rsidRPr="00A3606B" w:rsidRDefault="003F0400" w:rsidP="00E7672F">
            <w:pPr>
              <w:spacing w:line="360" w:lineRule="auto"/>
              <w:rPr>
                <w:rFonts w:ascii="Calibri" w:hAnsi="Calibri" w:cs="Calibri"/>
                <w:color w:val="002060"/>
                <w:sz w:val="22"/>
                <w:szCs w:val="22"/>
              </w:rPr>
            </w:pPr>
          </w:p>
        </w:tc>
        <w:tc>
          <w:tcPr>
            <w:tcW w:w="4113" w:type="dxa"/>
            <w:shd w:val="clear" w:color="auto" w:fill="FFFFFF" w:themeFill="background1"/>
          </w:tcPr>
          <w:p w14:paraId="5DBFBCBD" w14:textId="4838F8F0" w:rsidR="003F0400" w:rsidRPr="00A3606B" w:rsidRDefault="00D61A04" w:rsidP="00E7672F">
            <w:pPr>
              <w:spacing w:line="360" w:lineRule="auto"/>
              <w:rPr>
                <w:rFonts w:ascii="Calibri" w:hAnsi="Calibri" w:cs="Calibri"/>
                <w:color w:val="002060"/>
                <w:sz w:val="22"/>
                <w:szCs w:val="22"/>
              </w:rPr>
            </w:pPr>
            <w:r w:rsidRPr="00A3606B">
              <w:rPr>
                <w:rFonts w:ascii="Calibri" w:hAnsi="Calibri" w:cs="Calibri"/>
                <w:color w:val="002060"/>
                <w:sz w:val="22"/>
                <w:szCs w:val="22"/>
              </w:rPr>
              <w:t xml:space="preserve">This is an attractive </w:t>
            </w:r>
            <w:proofErr w:type="gramStart"/>
            <w:r w:rsidRPr="00A3606B">
              <w:rPr>
                <w:rFonts w:ascii="Calibri" w:hAnsi="Calibri" w:cs="Calibri"/>
                <w:color w:val="002060"/>
                <w:sz w:val="22"/>
                <w:szCs w:val="22"/>
              </w:rPr>
              <w:t>option,</w:t>
            </w:r>
            <w:proofErr w:type="gramEnd"/>
            <w:r w:rsidRPr="00A3606B">
              <w:rPr>
                <w:rFonts w:ascii="Calibri" w:hAnsi="Calibri" w:cs="Calibri"/>
                <w:color w:val="002060"/>
                <w:sz w:val="22"/>
                <w:szCs w:val="22"/>
              </w:rPr>
              <w:t xml:space="preserve"> however, this would impact more positively for the better paid large voluntaries than lower paid neighbourhood renewal staff e.g. 5% for an administrator on £21k is £1,050 </w:t>
            </w:r>
            <w:r w:rsidR="00876D68" w:rsidRPr="00A3606B">
              <w:rPr>
                <w:rFonts w:ascii="Calibri" w:hAnsi="Calibri" w:cs="Calibri"/>
                <w:color w:val="002060"/>
                <w:sz w:val="22"/>
                <w:szCs w:val="22"/>
              </w:rPr>
              <w:t>– whereas 5% for a project manager with a large voluntary on £48,000 will receive £2,400</w:t>
            </w:r>
          </w:p>
        </w:tc>
      </w:tr>
    </w:tbl>
    <w:p w14:paraId="10EBD532" w14:textId="77777777" w:rsidR="00CD3CE0" w:rsidRDefault="00CD3CE0" w:rsidP="00CD3CE0">
      <w:pPr>
        <w:rPr>
          <w:rFonts w:eastAsia="Times New Roman"/>
          <w:b/>
          <w:bCs/>
          <w:kern w:val="0"/>
          <w:lang w:eastAsia="en-GB"/>
          <w14:ligatures w14:val="none"/>
        </w:rPr>
      </w:pPr>
    </w:p>
    <w:p w14:paraId="3EA2CFFB" w14:textId="494E488C" w:rsidR="00CD3CE0" w:rsidRPr="00CD3CE0" w:rsidRDefault="00CD3CE0" w:rsidP="00CD3CE0">
      <w:pPr>
        <w:spacing w:line="360" w:lineRule="auto"/>
        <w:rPr>
          <w:rFonts w:ascii="Calibri" w:eastAsia="Times New Roman" w:hAnsi="Calibri" w:cs="Calibri"/>
          <w:b/>
          <w:bCs/>
          <w:color w:val="153D63" w:themeColor="text2" w:themeTint="E6"/>
          <w:kern w:val="0"/>
          <w:sz w:val="22"/>
          <w:szCs w:val="22"/>
          <w:lang w:eastAsia="en-GB"/>
          <w14:ligatures w14:val="none"/>
        </w:rPr>
      </w:pPr>
      <w:r w:rsidRPr="00CD3CE0">
        <w:rPr>
          <w:rFonts w:ascii="Calibri" w:eastAsia="Times New Roman" w:hAnsi="Calibri" w:cs="Calibri"/>
          <w:b/>
          <w:bCs/>
          <w:color w:val="153D63" w:themeColor="text2" w:themeTint="E6"/>
          <w:kern w:val="0"/>
          <w:sz w:val="22"/>
          <w:szCs w:val="22"/>
          <w:lang w:eastAsia="en-GB"/>
          <w14:ligatures w14:val="none"/>
        </w:rPr>
        <w:t xml:space="preserve">Real Living Wage: </w:t>
      </w:r>
      <w:r w:rsidRPr="00CD3CE0">
        <w:rPr>
          <w:rFonts w:ascii="Calibri" w:eastAsia="Times New Roman" w:hAnsi="Calibri" w:cs="Calibri"/>
          <w:color w:val="153D63" w:themeColor="text2" w:themeTint="E6"/>
          <w:kern w:val="0"/>
          <w:sz w:val="22"/>
          <w:szCs w:val="22"/>
          <w:lang w:eastAsia="en-GB"/>
          <w14:ligatures w14:val="none"/>
        </w:rPr>
        <w:t>Finally,</w:t>
      </w:r>
      <w:r>
        <w:rPr>
          <w:rFonts w:ascii="Calibri" w:eastAsia="Times New Roman" w:hAnsi="Calibri" w:cs="Calibri"/>
          <w:b/>
          <w:bCs/>
          <w:color w:val="153D63" w:themeColor="text2" w:themeTint="E6"/>
          <w:kern w:val="0"/>
          <w:sz w:val="22"/>
          <w:szCs w:val="22"/>
          <w:lang w:eastAsia="en-GB"/>
          <w14:ligatures w14:val="none"/>
        </w:rPr>
        <w:t xml:space="preserve"> </w:t>
      </w:r>
      <w:r>
        <w:rPr>
          <w:rFonts w:ascii="Calibri" w:eastAsia="Times New Roman" w:hAnsi="Calibri" w:cs="Calibri"/>
          <w:color w:val="153D63" w:themeColor="text2" w:themeTint="E6"/>
          <w:kern w:val="0"/>
          <w:sz w:val="22"/>
          <w:szCs w:val="22"/>
          <w:lang w:eastAsia="en-GB"/>
          <w14:ligatures w14:val="none"/>
        </w:rPr>
        <w:t>a</w:t>
      </w:r>
      <w:r w:rsidRPr="00CD3CE0">
        <w:rPr>
          <w:rFonts w:ascii="Calibri" w:eastAsia="Times New Roman" w:hAnsi="Calibri" w:cs="Calibri"/>
          <w:color w:val="153D63" w:themeColor="text2" w:themeTint="E6"/>
          <w:kern w:val="0"/>
          <w:sz w:val="22"/>
          <w:szCs w:val="22"/>
          <w:lang w:eastAsia="en-GB"/>
          <w14:ligatures w14:val="none"/>
        </w:rPr>
        <w:t>ll staff working on neighbourhood renewal projects should receive at least the Real Living Wage, currently £12 per hour. This line with the then Minister of Finance Conor Murphy’s state</w:t>
      </w:r>
      <w:r>
        <w:rPr>
          <w:rFonts w:ascii="Calibri" w:eastAsia="Times New Roman" w:hAnsi="Calibri" w:cs="Calibri"/>
          <w:color w:val="153D63" w:themeColor="text2" w:themeTint="E6"/>
          <w:kern w:val="0"/>
          <w:sz w:val="22"/>
          <w:szCs w:val="22"/>
          <w:lang w:eastAsia="en-GB"/>
          <w14:ligatures w14:val="none"/>
        </w:rPr>
        <w:t>d</w:t>
      </w:r>
      <w:r w:rsidRPr="00CD3CE0">
        <w:rPr>
          <w:rFonts w:ascii="Calibri" w:eastAsia="Times New Roman" w:hAnsi="Calibri" w:cs="Calibri"/>
          <w:color w:val="153D63" w:themeColor="text2" w:themeTint="E6"/>
          <w:kern w:val="0"/>
          <w:sz w:val="22"/>
          <w:szCs w:val="22"/>
          <w:lang w:eastAsia="en-GB"/>
          <w14:ligatures w14:val="none"/>
        </w:rPr>
        <w:t xml:space="preserve"> </w:t>
      </w:r>
      <w:r>
        <w:rPr>
          <w:rFonts w:ascii="Calibri" w:eastAsia="Times New Roman" w:hAnsi="Calibri" w:cs="Calibri"/>
          <w:color w:val="153D63" w:themeColor="text2" w:themeTint="E6"/>
          <w:kern w:val="0"/>
          <w:sz w:val="22"/>
          <w:szCs w:val="22"/>
          <w:lang w:eastAsia="en-GB"/>
          <w14:ligatures w14:val="none"/>
        </w:rPr>
        <w:t>in</w:t>
      </w:r>
      <w:r w:rsidRPr="00CD3CE0">
        <w:rPr>
          <w:rFonts w:ascii="Calibri" w:eastAsia="Times New Roman" w:hAnsi="Calibri" w:cs="Calibri"/>
          <w:color w:val="153D63" w:themeColor="text2" w:themeTint="E6"/>
          <w:kern w:val="0"/>
          <w:sz w:val="22"/>
          <w:szCs w:val="22"/>
          <w:lang w:eastAsia="en-GB"/>
          <w14:ligatures w14:val="none"/>
        </w:rPr>
        <w:t xml:space="preserve"> November 2021: </w:t>
      </w:r>
      <w:r w:rsidRPr="00CD3CE0">
        <w:rPr>
          <w:rFonts w:ascii="Calibri" w:eastAsia="Times New Roman" w:hAnsi="Calibri" w:cs="Calibri"/>
          <w:b/>
          <w:bCs/>
          <w:color w:val="153D63" w:themeColor="text2" w:themeTint="E6"/>
          <w:kern w:val="0"/>
          <w:sz w:val="22"/>
          <w:szCs w:val="22"/>
          <w:lang w:eastAsia="en-GB"/>
          <w14:ligatures w14:val="none"/>
        </w:rPr>
        <w:t>“</w:t>
      </w:r>
      <w:r w:rsidRPr="00CD3CE0">
        <w:rPr>
          <w:rFonts w:ascii="Calibri" w:eastAsia="Times New Roman" w:hAnsi="Calibri" w:cs="Calibri"/>
          <w:color w:val="153D63" w:themeColor="text2" w:themeTint="E6"/>
          <w:kern w:val="0"/>
          <w:sz w:val="22"/>
          <w:szCs w:val="22"/>
          <w:shd w:val="clear" w:color="auto" w:fill="FFFFFF"/>
          <w:lang w:eastAsia="en-GB"/>
          <w14:ligatures w14:val="none"/>
        </w:rPr>
        <w:t xml:space="preserve">The Executive is committed to paying civil servants at least the Living Wage. This </w:t>
      </w:r>
      <w:r w:rsidRPr="00CD3CE0">
        <w:rPr>
          <w:rFonts w:ascii="Calibri" w:eastAsia="Times New Roman" w:hAnsi="Calibri" w:cs="Calibri"/>
          <w:color w:val="153D63" w:themeColor="text2" w:themeTint="E6"/>
          <w:kern w:val="0"/>
          <w:sz w:val="22"/>
          <w:szCs w:val="22"/>
          <w:shd w:val="clear" w:color="auto" w:fill="FFFFFF"/>
          <w:lang w:eastAsia="en-GB"/>
          <w14:ligatures w14:val="none"/>
        </w:rPr>
        <w:lastRenderedPageBreak/>
        <w:t>commitment will also apply to new contracts for people who work in civil service buildings which will impact on staff providing security, catering, and</w:t>
      </w:r>
      <w:r w:rsidRPr="00CD3CE0">
        <w:rPr>
          <w:rFonts w:ascii="Calibri" w:eastAsia="Times New Roman" w:hAnsi="Calibri" w:cs="Calibri"/>
          <w:b/>
          <w:bCs/>
          <w:color w:val="153D63" w:themeColor="text2" w:themeTint="E6"/>
          <w:kern w:val="0"/>
          <w:sz w:val="22"/>
          <w:szCs w:val="22"/>
          <w:shd w:val="clear" w:color="auto" w:fill="FFFFFF"/>
          <w:lang w:eastAsia="en-GB"/>
          <w14:ligatures w14:val="none"/>
        </w:rPr>
        <w:t> </w:t>
      </w:r>
      <w:r w:rsidRPr="00CD3CE0">
        <w:rPr>
          <w:rFonts w:ascii="Calibri" w:eastAsia="Times New Roman" w:hAnsi="Calibri" w:cs="Calibri"/>
          <w:color w:val="153D63" w:themeColor="text2" w:themeTint="E6"/>
          <w:kern w:val="0"/>
          <w:sz w:val="22"/>
          <w:szCs w:val="22"/>
          <w:shd w:val="clear" w:color="auto" w:fill="FFFFFF"/>
          <w:lang w:eastAsia="en-GB"/>
          <w14:ligatures w14:val="none"/>
        </w:rPr>
        <w:t>cleaning services.”</w:t>
      </w:r>
      <w:r>
        <w:rPr>
          <w:rFonts w:ascii="Calibri" w:eastAsia="Times New Roman" w:hAnsi="Calibri" w:cs="Calibri"/>
          <w:color w:val="153D63" w:themeColor="text2" w:themeTint="E6"/>
          <w:kern w:val="0"/>
          <w:sz w:val="22"/>
          <w:szCs w:val="22"/>
          <w:shd w:val="clear" w:color="auto" w:fill="FFFFFF"/>
          <w:lang w:eastAsia="en-GB"/>
          <w14:ligatures w14:val="none"/>
        </w:rPr>
        <w:t xml:space="preserve"> This agreement should extend to those staff working for community sector organisations delivery government programmes.</w:t>
      </w:r>
    </w:p>
    <w:p w14:paraId="200467B1" w14:textId="77777777" w:rsidR="00CD3CE0" w:rsidRPr="00E7672F" w:rsidRDefault="00CD3CE0">
      <w:pPr>
        <w:rPr>
          <w:rFonts w:ascii="Calibri" w:hAnsi="Calibri" w:cs="Calibri"/>
          <w:sz w:val="22"/>
          <w:szCs w:val="22"/>
        </w:rPr>
      </w:pPr>
    </w:p>
    <w:sectPr w:rsidR="00CD3CE0" w:rsidRPr="00E7672F" w:rsidSect="00AF15C0">
      <w:headerReference w:type="even" r:id="rId9"/>
      <w:headerReference w:type="default" r:id="rId10"/>
      <w:footerReference w:type="even" r:id="rId11"/>
      <w:footerReference w:type="default" r:id="rId12"/>
      <w:headerReference w:type="first" r:id="rId13"/>
      <w:footerReference w:type="first" r:id="rId14"/>
      <w:pgSz w:w="11900" w:h="1682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A8A35" w14:textId="77777777" w:rsidR="00AF15C0" w:rsidRDefault="00AF15C0" w:rsidP="004E7C55">
      <w:r>
        <w:separator/>
      </w:r>
    </w:p>
  </w:endnote>
  <w:endnote w:type="continuationSeparator" w:id="0">
    <w:p w14:paraId="76159D71" w14:textId="77777777" w:rsidR="00AF15C0" w:rsidRDefault="00AF15C0" w:rsidP="004E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0062325"/>
      <w:docPartObj>
        <w:docPartGallery w:val="Page Numbers (Bottom of Page)"/>
        <w:docPartUnique/>
      </w:docPartObj>
    </w:sdtPr>
    <w:sdtEndPr>
      <w:rPr>
        <w:rStyle w:val="PageNumber"/>
      </w:rPr>
    </w:sdtEndPr>
    <w:sdtContent>
      <w:p w14:paraId="6E04062C" w14:textId="2CB238B0" w:rsidR="004E7C55" w:rsidRDefault="004E7C55" w:rsidP="00121F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9ABAFA" w14:textId="77777777" w:rsidR="004E7C55" w:rsidRDefault="004E7C55" w:rsidP="004E7C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526381"/>
      <w:docPartObj>
        <w:docPartGallery w:val="Page Numbers (Bottom of Page)"/>
        <w:docPartUnique/>
      </w:docPartObj>
    </w:sdtPr>
    <w:sdtEndPr/>
    <w:sdtContent>
      <w:sdt>
        <w:sdtPr>
          <w:id w:val="1728636285"/>
          <w:docPartObj>
            <w:docPartGallery w:val="Page Numbers (Top of Page)"/>
            <w:docPartUnique/>
          </w:docPartObj>
        </w:sdtPr>
        <w:sdtEndPr/>
        <w:sdtContent>
          <w:p w14:paraId="37AF1C62" w14:textId="7544D67A" w:rsidR="00E97E71" w:rsidRDefault="00E97E71">
            <w:pPr>
              <w:pStyle w:val="Footer"/>
              <w:jc w:val="center"/>
            </w:pPr>
            <w:r>
              <w:t xml:space="preserve">Page </w:t>
            </w:r>
            <w:r>
              <w:rPr>
                <w:b/>
                <w:bCs/>
              </w:rPr>
              <w:fldChar w:fldCharType="begin"/>
            </w:r>
            <w:r>
              <w:rPr>
                <w:b/>
                <w:bCs/>
              </w:rPr>
              <w:instrText xml:space="preserve"> PAGE </w:instrText>
            </w:r>
            <w:r>
              <w:rPr>
                <w:b/>
                <w:bCs/>
              </w:rPr>
              <w:fldChar w:fldCharType="separate"/>
            </w:r>
            <w:r w:rsidR="0020477A">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20477A">
              <w:rPr>
                <w:b/>
                <w:bCs/>
                <w:noProof/>
              </w:rPr>
              <w:t>5</w:t>
            </w:r>
            <w:r>
              <w:rPr>
                <w:b/>
                <w:bCs/>
              </w:rPr>
              <w:fldChar w:fldCharType="end"/>
            </w:r>
          </w:p>
        </w:sdtContent>
      </w:sdt>
    </w:sdtContent>
  </w:sdt>
  <w:p w14:paraId="61D739E5" w14:textId="77777777" w:rsidR="004E7C55" w:rsidRDefault="004E7C55" w:rsidP="004E7C5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D65D" w14:textId="77777777" w:rsidR="00375F6A" w:rsidRDefault="00375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E2058" w14:textId="77777777" w:rsidR="00AF15C0" w:rsidRDefault="00AF15C0" w:rsidP="004E7C55">
      <w:r>
        <w:separator/>
      </w:r>
    </w:p>
  </w:footnote>
  <w:footnote w:type="continuationSeparator" w:id="0">
    <w:p w14:paraId="3C2C358D" w14:textId="77777777" w:rsidR="00AF15C0" w:rsidRDefault="00AF15C0" w:rsidP="004E7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E0477" w14:textId="77777777" w:rsidR="00375F6A" w:rsidRDefault="00375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0FD29" w14:textId="77777777" w:rsidR="00E97E71" w:rsidRDefault="00E97E71">
    <w:pPr>
      <w:pStyle w:val="Header"/>
    </w:pPr>
  </w:p>
  <w:p w14:paraId="14340FF5" w14:textId="18CA3CF3" w:rsidR="00E97E71" w:rsidRDefault="00E97E71">
    <w:pPr>
      <w:pStyle w:val="Header"/>
    </w:pPr>
    <w:r>
      <w:rPr>
        <w:noProof/>
        <w:lang w:eastAsia="en-GB"/>
      </w:rPr>
      <mc:AlternateContent>
        <mc:Choice Requires="wps">
          <w:drawing>
            <wp:anchor distT="0" distB="0" distL="118745" distR="118745" simplePos="0" relativeHeight="251659264" behindDoc="1" locked="0" layoutInCell="1" allowOverlap="0" wp14:anchorId="121BD845" wp14:editId="5144932D">
              <wp:simplePos x="0" y="0"/>
              <wp:positionH relativeFrom="margin">
                <wp:align>center</wp:align>
              </wp:positionH>
              <mc:AlternateContent>
                <mc:Choice Requires="wp14">
                  <wp:positionV relativeFrom="page">
                    <wp14:pctPosVOffset>4500</wp14:pctPosVOffset>
                  </wp:positionV>
                </mc:Choice>
                <mc:Fallback>
                  <wp:positionV relativeFrom="page">
                    <wp:posOffset>480060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C9046BA" w14:textId="19F42C72" w:rsidR="00E97E71" w:rsidRDefault="00375F6A" w:rsidP="00375F6A">
                              <w:pPr>
                                <w:pStyle w:val="Header"/>
                                <w:jc w:val="center"/>
                                <w:rPr>
                                  <w:caps/>
                                  <w:color w:val="FFFFFF" w:themeColor="background1"/>
                                </w:rPr>
                              </w:pPr>
                              <w:r>
                                <w:rPr>
                                  <w:caps/>
                                  <w:color w:val="FFFFFF" w:themeColor="background1"/>
                                </w:rPr>
                                <w:t>Neighbourhood Renewal Forum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21BD845"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C9046BA" w14:textId="19F42C72" w:rsidR="00E97E71" w:rsidRDefault="00375F6A" w:rsidP="00375F6A">
                        <w:pPr>
                          <w:pStyle w:val="Header"/>
                          <w:jc w:val="center"/>
                          <w:rPr>
                            <w:caps/>
                            <w:color w:val="FFFFFF" w:themeColor="background1"/>
                          </w:rPr>
                        </w:pPr>
                        <w:r>
                          <w:rPr>
                            <w:caps/>
                            <w:color w:val="FFFFFF" w:themeColor="background1"/>
                          </w:rPr>
                          <w:t>Neighbourhood Renewal Forum</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6592" w14:textId="77777777" w:rsidR="00375F6A" w:rsidRDefault="00375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BF2264"/>
    <w:multiLevelType w:val="hybridMultilevel"/>
    <w:tmpl w:val="AAD07B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79858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3AE"/>
    <w:rsid w:val="000417A2"/>
    <w:rsid w:val="000767FC"/>
    <w:rsid w:val="000C18E0"/>
    <w:rsid w:val="000C45EA"/>
    <w:rsid w:val="0014151B"/>
    <w:rsid w:val="001B16AD"/>
    <w:rsid w:val="001B4702"/>
    <w:rsid w:val="001D5561"/>
    <w:rsid w:val="0020477A"/>
    <w:rsid w:val="00264C59"/>
    <w:rsid w:val="00274E0B"/>
    <w:rsid w:val="00274F6F"/>
    <w:rsid w:val="00290D40"/>
    <w:rsid w:val="00337E42"/>
    <w:rsid w:val="0036623C"/>
    <w:rsid w:val="00375F6A"/>
    <w:rsid w:val="003873AE"/>
    <w:rsid w:val="003F0400"/>
    <w:rsid w:val="00434DDE"/>
    <w:rsid w:val="00450DA0"/>
    <w:rsid w:val="004D7F21"/>
    <w:rsid w:val="004E7C55"/>
    <w:rsid w:val="00555A0B"/>
    <w:rsid w:val="00563248"/>
    <w:rsid w:val="00661BBA"/>
    <w:rsid w:val="00667FDF"/>
    <w:rsid w:val="00676771"/>
    <w:rsid w:val="006841B5"/>
    <w:rsid w:val="006874E5"/>
    <w:rsid w:val="007A32AA"/>
    <w:rsid w:val="007C2D9E"/>
    <w:rsid w:val="007D458B"/>
    <w:rsid w:val="007F74D9"/>
    <w:rsid w:val="00833171"/>
    <w:rsid w:val="00876D68"/>
    <w:rsid w:val="009066E0"/>
    <w:rsid w:val="00920CA8"/>
    <w:rsid w:val="00921E7A"/>
    <w:rsid w:val="009478AF"/>
    <w:rsid w:val="009B484E"/>
    <w:rsid w:val="00A01E90"/>
    <w:rsid w:val="00A22C4B"/>
    <w:rsid w:val="00A3606B"/>
    <w:rsid w:val="00A67736"/>
    <w:rsid w:val="00AF15C0"/>
    <w:rsid w:val="00B346A3"/>
    <w:rsid w:val="00BB2666"/>
    <w:rsid w:val="00C30629"/>
    <w:rsid w:val="00C62764"/>
    <w:rsid w:val="00C8603E"/>
    <w:rsid w:val="00CA70E6"/>
    <w:rsid w:val="00CD3CE0"/>
    <w:rsid w:val="00D00EA0"/>
    <w:rsid w:val="00D41114"/>
    <w:rsid w:val="00D61A04"/>
    <w:rsid w:val="00E34624"/>
    <w:rsid w:val="00E7672F"/>
    <w:rsid w:val="00E97E71"/>
    <w:rsid w:val="00ED030E"/>
    <w:rsid w:val="00F0317B"/>
    <w:rsid w:val="00FD2294"/>
    <w:rsid w:val="00FF1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30A49"/>
  <w15:chartTrackingRefBased/>
  <w15:docId w15:val="{C6BBA379-A5D0-514F-BC13-F3B9DF26A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7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3A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3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73A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73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73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73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73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7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3A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3A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73A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73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73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73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73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7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3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3A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73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73AE"/>
    <w:rPr>
      <w:i/>
      <w:iCs/>
      <w:color w:val="404040" w:themeColor="text1" w:themeTint="BF"/>
    </w:rPr>
  </w:style>
  <w:style w:type="paragraph" w:styleId="ListParagraph">
    <w:name w:val="List Paragraph"/>
    <w:basedOn w:val="Normal"/>
    <w:uiPriority w:val="34"/>
    <w:qFormat/>
    <w:rsid w:val="003873AE"/>
    <w:pPr>
      <w:ind w:left="720"/>
      <w:contextualSpacing/>
    </w:pPr>
  </w:style>
  <w:style w:type="character" w:styleId="IntenseEmphasis">
    <w:name w:val="Intense Emphasis"/>
    <w:basedOn w:val="DefaultParagraphFont"/>
    <w:uiPriority w:val="21"/>
    <w:qFormat/>
    <w:rsid w:val="003873AE"/>
    <w:rPr>
      <w:i/>
      <w:iCs/>
      <w:color w:val="0F4761" w:themeColor="accent1" w:themeShade="BF"/>
    </w:rPr>
  </w:style>
  <w:style w:type="paragraph" w:styleId="IntenseQuote">
    <w:name w:val="Intense Quote"/>
    <w:basedOn w:val="Normal"/>
    <w:next w:val="Normal"/>
    <w:link w:val="IntenseQuoteChar"/>
    <w:uiPriority w:val="30"/>
    <w:qFormat/>
    <w:rsid w:val="00387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3AE"/>
    <w:rPr>
      <w:i/>
      <w:iCs/>
      <w:color w:val="0F4761" w:themeColor="accent1" w:themeShade="BF"/>
    </w:rPr>
  </w:style>
  <w:style w:type="character" w:styleId="IntenseReference">
    <w:name w:val="Intense Reference"/>
    <w:basedOn w:val="DefaultParagraphFont"/>
    <w:uiPriority w:val="32"/>
    <w:qFormat/>
    <w:rsid w:val="003873AE"/>
    <w:rPr>
      <w:b/>
      <w:bCs/>
      <w:smallCaps/>
      <w:color w:val="0F4761" w:themeColor="accent1" w:themeShade="BF"/>
      <w:spacing w:val="5"/>
    </w:rPr>
  </w:style>
  <w:style w:type="table" w:styleId="TableGrid">
    <w:name w:val="Table Grid"/>
    <w:basedOn w:val="TableNormal"/>
    <w:uiPriority w:val="39"/>
    <w:rsid w:val="00041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2666"/>
    <w:pPr>
      <w:spacing w:after="200"/>
    </w:pPr>
    <w:rPr>
      <w:i/>
      <w:iCs/>
      <w:color w:val="0E2841" w:themeColor="text2"/>
      <w:sz w:val="18"/>
      <w:szCs w:val="18"/>
    </w:rPr>
  </w:style>
  <w:style w:type="paragraph" w:styleId="Footer">
    <w:name w:val="footer"/>
    <w:basedOn w:val="Normal"/>
    <w:link w:val="FooterChar"/>
    <w:uiPriority w:val="99"/>
    <w:unhideWhenUsed/>
    <w:rsid w:val="004E7C55"/>
    <w:pPr>
      <w:tabs>
        <w:tab w:val="center" w:pos="4513"/>
        <w:tab w:val="right" w:pos="9026"/>
      </w:tabs>
    </w:pPr>
  </w:style>
  <w:style w:type="character" w:customStyle="1" w:styleId="FooterChar">
    <w:name w:val="Footer Char"/>
    <w:basedOn w:val="DefaultParagraphFont"/>
    <w:link w:val="Footer"/>
    <w:uiPriority w:val="99"/>
    <w:rsid w:val="004E7C55"/>
  </w:style>
  <w:style w:type="character" w:styleId="PageNumber">
    <w:name w:val="page number"/>
    <w:basedOn w:val="DefaultParagraphFont"/>
    <w:uiPriority w:val="99"/>
    <w:semiHidden/>
    <w:unhideWhenUsed/>
    <w:rsid w:val="004E7C55"/>
  </w:style>
  <w:style w:type="paragraph" w:styleId="Header">
    <w:name w:val="header"/>
    <w:basedOn w:val="Normal"/>
    <w:link w:val="HeaderChar"/>
    <w:uiPriority w:val="99"/>
    <w:unhideWhenUsed/>
    <w:rsid w:val="004E7C55"/>
    <w:pPr>
      <w:tabs>
        <w:tab w:val="center" w:pos="4513"/>
        <w:tab w:val="right" w:pos="9026"/>
      </w:tabs>
    </w:pPr>
  </w:style>
  <w:style w:type="character" w:customStyle="1" w:styleId="HeaderChar">
    <w:name w:val="Header Char"/>
    <w:basedOn w:val="DefaultParagraphFont"/>
    <w:link w:val="Header"/>
    <w:uiPriority w:val="99"/>
    <w:rsid w:val="004E7C55"/>
  </w:style>
  <w:style w:type="paragraph" w:styleId="BalloonText">
    <w:name w:val="Balloon Text"/>
    <w:basedOn w:val="Normal"/>
    <w:link w:val="BalloonTextChar"/>
    <w:uiPriority w:val="99"/>
    <w:semiHidden/>
    <w:unhideWhenUsed/>
    <w:rsid w:val="00A22C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C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A239E377C36C4DB0D71AE7D42AA86C" ma:contentTypeVersion="16" ma:contentTypeDescription="Create a new document." ma:contentTypeScope="" ma:versionID="1c0748e465fbd7915cf2f36a14d27e7c">
  <xsd:schema xmlns:xsd="http://www.w3.org/2001/XMLSchema" xmlns:xs="http://www.w3.org/2001/XMLSchema" xmlns:p="http://schemas.microsoft.com/office/2006/metadata/properties" xmlns:ns2="07186d06-5228-476c-9c11-ee7bed06f2ee" xmlns:ns3="685a404d-1ca5-4a34-995c-accb6648c420" targetNamespace="http://schemas.microsoft.com/office/2006/metadata/properties" ma:root="true" ma:fieldsID="7f13c1e4fdb5278d46beef762055d55b" ns2:_="" ns3:_="">
    <xsd:import namespace="07186d06-5228-476c-9c11-ee7bed06f2ee"/>
    <xsd:import namespace="685a404d-1ca5-4a34-995c-accb6648c4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6d06-5228-476c-9c11-ee7bed06f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a9191fa-822a-471c-b448-40863d1ea8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a404d-1ca5-4a34-995c-accb6648c4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a1664f-6317-4dde-91dd-c557817d7cf2}" ma:internalName="TaxCatchAll" ma:showField="CatchAllData" ma:web="685a404d-1ca5-4a34-995c-accb6648c4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186d06-5228-476c-9c11-ee7bed06f2ee">
      <Terms xmlns="http://schemas.microsoft.com/office/infopath/2007/PartnerControls"/>
    </lcf76f155ced4ddcb4097134ff3c332f>
    <TaxCatchAll xmlns="685a404d-1ca5-4a34-995c-accb6648c420" xsi:nil="true"/>
  </documentManagement>
</p:properties>
</file>

<file path=customXml/itemProps1.xml><?xml version="1.0" encoding="utf-8"?>
<ds:datastoreItem xmlns:ds="http://schemas.openxmlformats.org/officeDocument/2006/customXml" ds:itemID="{155DC701-D972-4AC5-BDB7-F1A62C70732B}"/>
</file>

<file path=customXml/itemProps2.xml><?xml version="1.0" encoding="utf-8"?>
<ds:datastoreItem xmlns:ds="http://schemas.openxmlformats.org/officeDocument/2006/customXml" ds:itemID="{033A44F1-7FB8-4228-9640-F78DF1FD1DFD}"/>
</file>

<file path=customXml/itemProps3.xml><?xml version="1.0" encoding="utf-8"?>
<ds:datastoreItem xmlns:ds="http://schemas.openxmlformats.org/officeDocument/2006/customXml" ds:itemID="{38EA0538-C4D0-46AC-8CAC-144E071F3D0A}"/>
</file>

<file path=docProps/app.xml><?xml version="1.0" encoding="utf-8"?>
<Properties xmlns="http://schemas.openxmlformats.org/officeDocument/2006/extended-properties" xmlns:vt="http://schemas.openxmlformats.org/officeDocument/2006/docPropsVTypes">
  <Template>Normal</Template>
  <TotalTime>0</TotalTime>
  <Pages>6</Pages>
  <Words>1529</Words>
  <Characters>8717</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Neighbourhood Renewal Forum</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Neighbourhood Renewal Forum</dc:title>
  <dc:subject/>
  <dc:creator>Manus Maguire</dc:creator>
  <cp:keywords/>
  <dc:description/>
  <cp:lastModifiedBy>Peter Lynch</cp:lastModifiedBy>
  <cp:revision>2</cp:revision>
  <cp:lastPrinted>2024-03-29T15:34:00Z</cp:lastPrinted>
  <dcterms:created xsi:type="dcterms:W3CDTF">2024-04-10T14:03:00Z</dcterms:created>
  <dcterms:modified xsi:type="dcterms:W3CDTF">2024-04-10T14:03:00Z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0x01010072A239E377C36C4DB0D71AE7D42AA86C</vt:lpwstr>
  </property>
</Properties>
</file>